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D061A" w14:textId="6376E27D" w:rsidR="00B83924" w:rsidRPr="009E1253" w:rsidRDefault="00B83924" w:rsidP="00506585">
      <w:pPr>
        <w:pStyle w:val="Heading1"/>
        <w:numPr>
          <w:ilvl w:val="0"/>
          <w:numId w:val="0"/>
        </w:numPr>
        <w:ind w:left="576"/>
        <w:jc w:val="center"/>
        <w:rPr>
          <w:b w:val="0"/>
          <w:bCs w:val="0"/>
          <w:sz w:val="36"/>
          <w:szCs w:val="36"/>
        </w:rPr>
      </w:pPr>
      <w:r w:rsidRPr="009E1253">
        <w:rPr>
          <w:b w:val="0"/>
          <w:bCs w:val="0"/>
          <w:sz w:val="36"/>
          <w:szCs w:val="36"/>
        </w:rPr>
        <w:t>Þjónustusamningur</w:t>
      </w:r>
    </w:p>
    <w:p w14:paraId="5399FC7C" w14:textId="77777777" w:rsidR="009E1253" w:rsidRDefault="009E1253" w:rsidP="00B66D7E"/>
    <w:p w14:paraId="6159CF09" w14:textId="7A3B2ABE" w:rsidR="00CD097E" w:rsidRDefault="00367AA4" w:rsidP="00B66D7E">
      <w:r>
        <w:t>Þjónustusamningur</w:t>
      </w:r>
      <w:r w:rsidR="00B66D7E">
        <w:t xml:space="preserve"> þessi milli </w:t>
      </w:r>
      <w:r w:rsidR="4786D0B5" w:rsidRPr="001046EE">
        <w:rPr>
          <w:b/>
          <w:bCs/>
        </w:rPr>
        <w:t>[</w:t>
      </w:r>
      <w:r w:rsidR="3D27593A" w:rsidRPr="001046EE">
        <w:rPr>
          <w:b/>
          <w:bCs/>
          <w:i/>
          <w:iCs/>
          <w:highlight w:val="lightGray"/>
        </w:rPr>
        <w:t>Sveitarfélags/stofnunar</w:t>
      </w:r>
      <w:r w:rsidR="3D27593A" w:rsidRPr="001046EE">
        <w:rPr>
          <w:b/>
          <w:bCs/>
        </w:rPr>
        <w:t>]</w:t>
      </w:r>
      <w:r w:rsidR="00B44A0B" w:rsidRPr="001046EE">
        <w:t>,</w:t>
      </w:r>
      <w:r w:rsidR="00B66D7E" w:rsidRPr="001046EE">
        <w:rPr>
          <w:b/>
          <w:bCs/>
        </w:rPr>
        <w:t xml:space="preserve"> </w:t>
      </w:r>
      <w:r w:rsidR="16461BCC" w:rsidRPr="001046EE">
        <w:rPr>
          <w:highlight w:val="lightGray"/>
        </w:rPr>
        <w:t>[</w:t>
      </w:r>
      <w:r w:rsidR="16461BCC" w:rsidRPr="001046EE">
        <w:rPr>
          <w:i/>
          <w:iCs/>
          <w:highlight w:val="lightGray"/>
        </w:rPr>
        <w:t>kennitala</w:t>
      </w:r>
      <w:r w:rsidR="00B66D7E" w:rsidRPr="001046EE">
        <w:rPr>
          <w:i/>
          <w:iCs/>
          <w:highlight w:val="lightGray"/>
        </w:rPr>
        <w:t xml:space="preserve">, </w:t>
      </w:r>
      <w:r w:rsidR="773D1BDF" w:rsidRPr="001046EE">
        <w:rPr>
          <w:i/>
          <w:iCs/>
          <w:highlight w:val="lightGray"/>
        </w:rPr>
        <w:t>heimilisfang</w:t>
      </w:r>
      <w:r w:rsidR="001634D0" w:rsidRPr="001046EE">
        <w:rPr>
          <w:i/>
          <w:iCs/>
          <w:highlight w:val="lightGray"/>
        </w:rPr>
        <w:t>,</w:t>
      </w:r>
      <w:r w:rsidR="6FC47948" w:rsidRPr="001046EE">
        <w:rPr>
          <w:i/>
          <w:iCs/>
          <w:highlight w:val="lightGray"/>
        </w:rPr>
        <w:t xml:space="preserve"> </w:t>
      </w:r>
      <w:proofErr w:type="spellStart"/>
      <w:r w:rsidR="6FC47948" w:rsidRPr="001046EE">
        <w:rPr>
          <w:i/>
          <w:iCs/>
          <w:highlight w:val="lightGray"/>
        </w:rPr>
        <w:t>pnr</w:t>
      </w:r>
      <w:proofErr w:type="spellEnd"/>
      <w:r w:rsidR="6FC47948" w:rsidRPr="001046EE">
        <w:rPr>
          <w:i/>
          <w:iCs/>
          <w:highlight w:val="lightGray"/>
        </w:rPr>
        <w:t xml:space="preserve">. </w:t>
      </w:r>
      <w:r w:rsidR="0069408D" w:rsidRPr="001046EE">
        <w:rPr>
          <w:i/>
          <w:iCs/>
          <w:highlight w:val="lightGray"/>
        </w:rPr>
        <w:t>o</w:t>
      </w:r>
      <w:r w:rsidR="6FC47948" w:rsidRPr="001046EE">
        <w:rPr>
          <w:i/>
          <w:iCs/>
          <w:highlight w:val="lightGray"/>
        </w:rPr>
        <w:t>g staður</w:t>
      </w:r>
      <w:r w:rsidR="6FC47948" w:rsidRPr="001046EE">
        <w:rPr>
          <w:highlight w:val="lightGray"/>
        </w:rPr>
        <w:t>]</w:t>
      </w:r>
      <w:r w:rsidR="00B66D7E" w:rsidRPr="001046EE">
        <w:t xml:space="preserve">, (hér eftir nefnt </w:t>
      </w:r>
      <w:r w:rsidR="0069408D" w:rsidRPr="001046EE">
        <w:rPr>
          <w:b/>
          <w:bCs/>
        </w:rPr>
        <w:t>sveitarfélag</w:t>
      </w:r>
      <w:r w:rsidR="009E1253" w:rsidRPr="001046EE">
        <w:rPr>
          <w:b/>
          <w:bCs/>
        </w:rPr>
        <w:t>/stofnun</w:t>
      </w:r>
      <w:r w:rsidR="00B66D7E" w:rsidRPr="001046EE">
        <w:t xml:space="preserve">) og </w:t>
      </w:r>
      <w:r w:rsidR="00B44A0B" w:rsidRPr="001046EE">
        <w:rPr>
          <w:highlight w:val="lightGray"/>
        </w:rPr>
        <w:t>[</w:t>
      </w:r>
      <w:r w:rsidR="2F8EE36B" w:rsidRPr="001046EE">
        <w:rPr>
          <w:i/>
          <w:iCs/>
          <w:highlight w:val="lightGray"/>
        </w:rPr>
        <w:t>heiti þjónustusala</w:t>
      </w:r>
      <w:r w:rsidR="00B44A0B" w:rsidRPr="001046EE">
        <w:rPr>
          <w:highlight w:val="lightGray"/>
        </w:rPr>
        <w:t>]</w:t>
      </w:r>
      <w:r w:rsidR="00B66D7E" w:rsidRPr="001046EE">
        <w:t xml:space="preserve"> (hér eftir nefnt</w:t>
      </w:r>
      <w:r w:rsidR="00ED21CC" w:rsidRPr="001046EE">
        <w:t>/nefndur</w:t>
      </w:r>
      <w:r w:rsidR="00B66D7E" w:rsidRPr="001046EE">
        <w:t xml:space="preserve"> </w:t>
      </w:r>
      <w:r w:rsidR="00B44A0B" w:rsidRPr="001046EE">
        <w:rPr>
          <w:b/>
          <w:bCs/>
        </w:rPr>
        <w:t>verktaki</w:t>
      </w:r>
      <w:r w:rsidR="00B66D7E" w:rsidRPr="001046EE">
        <w:t>), sameiginl</w:t>
      </w:r>
      <w:r w:rsidR="00ED21CC" w:rsidRPr="001046EE">
        <w:t>e</w:t>
      </w:r>
      <w:r w:rsidR="00B66D7E" w:rsidRPr="001046EE">
        <w:t xml:space="preserve">ga nefndir </w:t>
      </w:r>
      <w:r w:rsidR="00B66D7E" w:rsidRPr="001046EE">
        <w:rPr>
          <w:b/>
          <w:bCs/>
        </w:rPr>
        <w:t>samningsaðilar</w:t>
      </w:r>
      <w:r w:rsidR="00B66D7E">
        <w:t xml:space="preserve">, tekur til þeirrar þjónustu sem </w:t>
      </w:r>
      <w:r w:rsidR="00B44A0B">
        <w:t xml:space="preserve">verktaki veitir </w:t>
      </w:r>
      <w:r w:rsidR="457878F8">
        <w:t>þjónustu</w:t>
      </w:r>
      <w:r w:rsidR="0069408D">
        <w:t>kaupa</w:t>
      </w:r>
      <w:r w:rsidR="457878F8">
        <w:t xml:space="preserve"> </w:t>
      </w:r>
      <w:r w:rsidR="00B66D7E">
        <w:t xml:space="preserve">í samræmi við skilmála </w:t>
      </w:r>
      <w:r w:rsidR="00B44A0B">
        <w:t>þjónustusamnings</w:t>
      </w:r>
      <w:r w:rsidR="00B66D7E">
        <w:t xml:space="preserve"> þessa og viðauka. </w:t>
      </w:r>
    </w:p>
    <w:p w14:paraId="208FE050" w14:textId="43F677AC" w:rsidR="00B66D7E" w:rsidRPr="00106709" w:rsidRDefault="00B66D7E" w:rsidP="00B66D7E">
      <w:r>
        <w:t xml:space="preserve">Sameiginlega er vísað í </w:t>
      </w:r>
      <w:r w:rsidR="00B44A0B">
        <w:t>þjónustusamning</w:t>
      </w:r>
      <w:r>
        <w:t xml:space="preserve"> þennan og viðauka sem „</w:t>
      </w:r>
      <w:r w:rsidRPr="006D5D51">
        <w:rPr>
          <w:b/>
        </w:rPr>
        <w:t>samningsins</w:t>
      </w:r>
      <w:r>
        <w:t>“</w:t>
      </w:r>
      <w:r w:rsidR="00CD097E">
        <w:t xml:space="preserve"> nema annað sé tekið fram</w:t>
      </w:r>
      <w:r>
        <w:t xml:space="preserve">. </w:t>
      </w:r>
    </w:p>
    <w:p w14:paraId="4A9D2152" w14:textId="466CB62B" w:rsidR="00B66D7E" w:rsidRDefault="00A83F56" w:rsidP="00506585">
      <w:pPr>
        <w:pStyle w:val="Heading1"/>
      </w:pPr>
      <w:bookmarkStart w:id="0" w:name="_Toc500084293"/>
      <w:bookmarkStart w:id="1" w:name="_Toc503635481"/>
      <w:bookmarkStart w:id="2" w:name="_Toc118173398"/>
      <w:bookmarkStart w:id="3" w:name="_Toc428178212"/>
      <w:bookmarkStart w:id="4" w:name="_Toc476578458"/>
      <w:bookmarkStart w:id="5" w:name="_Toc500084289"/>
      <w:bookmarkStart w:id="6" w:name="_Toc503635477"/>
      <w:bookmarkStart w:id="7" w:name="_Toc118173399"/>
      <w:bookmarkStart w:id="8" w:name="_Toc428178213"/>
      <w:bookmarkStart w:id="9" w:name="_Toc500084294"/>
      <w:bookmarkStart w:id="10" w:name="_Toc503635482"/>
      <w:r>
        <w:t xml:space="preserve">efni </w:t>
      </w:r>
      <w:r w:rsidR="00882BE9">
        <w:t xml:space="preserve">og uppbygging </w:t>
      </w:r>
      <w:r w:rsidR="00B66D7E" w:rsidRPr="00B97786">
        <w:t>samningsins</w:t>
      </w:r>
    </w:p>
    <w:p w14:paraId="241B9B23" w14:textId="2C08CF9B" w:rsidR="00882BE9" w:rsidRDefault="00B735A5" w:rsidP="00506585">
      <w:pPr>
        <w:pStyle w:val="Heading2"/>
      </w:pPr>
      <w:r w:rsidRPr="00ED605B">
        <w:t>Samningur</w:t>
      </w:r>
      <w:r w:rsidR="00882BE9">
        <w:t xml:space="preserve"> þessi fjallar um almenn réttindi og skyldur samningsaðila.</w:t>
      </w:r>
    </w:p>
    <w:p w14:paraId="0219DA1B" w14:textId="268B0C5A" w:rsidR="00B44A0B" w:rsidRDefault="00B44A0B" w:rsidP="00506585">
      <w:pPr>
        <w:pStyle w:val="Heading2"/>
      </w:pPr>
      <w:r>
        <w:t xml:space="preserve">Verktaki tekur að sér að veita </w:t>
      </w:r>
      <w:r w:rsidR="1BDA5C6E" w:rsidRPr="001046EE">
        <w:rPr>
          <w:highlight w:val="lightGray"/>
        </w:rPr>
        <w:t>[</w:t>
      </w:r>
      <w:r w:rsidR="00ED21CC" w:rsidRPr="001046EE">
        <w:rPr>
          <w:i/>
          <w:iCs/>
          <w:highlight w:val="lightGray"/>
        </w:rPr>
        <w:t xml:space="preserve">þá </w:t>
      </w:r>
      <w:r w:rsidR="00367AA4" w:rsidRPr="001046EE">
        <w:rPr>
          <w:i/>
          <w:iCs/>
          <w:highlight w:val="lightGray"/>
        </w:rPr>
        <w:t>þjónustu sem skilgreind er með nákvæmum hætti í viðauka</w:t>
      </w:r>
      <w:r w:rsidR="00B83924" w:rsidRPr="001046EE">
        <w:rPr>
          <w:i/>
          <w:iCs/>
          <w:highlight w:val="lightGray"/>
        </w:rPr>
        <w:t xml:space="preserve"> 1</w:t>
      </w:r>
      <w:r w:rsidR="00367AA4" w:rsidRPr="001046EE">
        <w:rPr>
          <w:i/>
          <w:iCs/>
          <w:highlight w:val="lightGray"/>
        </w:rPr>
        <w:t xml:space="preserve"> við samning þennan</w:t>
      </w:r>
      <w:r w:rsidR="0069408D" w:rsidRPr="001046EE">
        <w:rPr>
          <w:highlight w:val="lightGray"/>
        </w:rPr>
        <w:t>]</w:t>
      </w:r>
      <w:r w:rsidR="00A83F56">
        <w:t xml:space="preserve"> </w:t>
      </w:r>
      <w:r>
        <w:t>(„</w:t>
      </w:r>
      <w:r w:rsidRPr="2838EEF7">
        <w:rPr>
          <w:b/>
          <w:bCs/>
        </w:rPr>
        <w:t>þjónustan</w:t>
      </w:r>
      <w:r>
        <w:t>“).</w:t>
      </w:r>
      <w:r w:rsidR="00882BE9">
        <w:t xml:space="preserve"> </w:t>
      </w:r>
      <w:r w:rsidR="0069408D">
        <w:t>Í viðaukanum</w:t>
      </w:r>
      <w:r w:rsidR="00882BE9">
        <w:t xml:space="preserve"> skal afmarka og lýsa umfangi þjónustunnar.</w:t>
      </w:r>
    </w:p>
    <w:p w14:paraId="27AA3D10" w14:textId="427BDA58" w:rsidR="00882BE9" w:rsidRDefault="00882BE9" w:rsidP="00506585">
      <w:pPr>
        <w:pStyle w:val="Heading2"/>
      </w:pPr>
      <w:r>
        <w:t>Ef ákvæði viðauka og samningsins stangast á skulu ákvæði viðauka ganga framar.</w:t>
      </w:r>
    </w:p>
    <w:p w14:paraId="047C19B1" w14:textId="6C192250" w:rsidR="00AB7C16" w:rsidRDefault="00AB7C16" w:rsidP="00506585">
      <w:pPr>
        <w:pStyle w:val="Heading1"/>
      </w:pPr>
      <w:bookmarkStart w:id="11" w:name="_Toc118173417"/>
      <w:bookmarkStart w:id="12" w:name="_Toc428178223"/>
      <w:bookmarkStart w:id="13" w:name="_Toc476578463"/>
      <w:bookmarkEnd w:id="0"/>
      <w:bookmarkEnd w:id="1"/>
      <w:bookmarkEnd w:id="2"/>
      <w:bookmarkEnd w:id="3"/>
      <w:bookmarkEnd w:id="4"/>
      <w:bookmarkEnd w:id="5"/>
      <w:bookmarkEnd w:id="6"/>
      <w:bookmarkEnd w:id="7"/>
      <w:bookmarkEnd w:id="8"/>
      <w:r>
        <w:t xml:space="preserve">Skyldur </w:t>
      </w:r>
      <w:r w:rsidR="00367AA4">
        <w:t>samningsaðila</w:t>
      </w:r>
    </w:p>
    <w:p w14:paraId="3A241418" w14:textId="2810DE06" w:rsidR="00984574" w:rsidRDefault="00367AA4" w:rsidP="00506585">
      <w:pPr>
        <w:pStyle w:val="Heading2"/>
      </w:pPr>
      <w:r>
        <w:t xml:space="preserve">Verktaki skal sjá til þess að þjónustan sé veitt </w:t>
      </w:r>
      <w:r w:rsidR="00B83924">
        <w:t>í samræmi við lýsingu í viðauka 1</w:t>
      </w:r>
      <w:r w:rsidR="0018641C">
        <w:t xml:space="preserve"> </w:t>
      </w:r>
      <w:r w:rsidR="00B83924">
        <w:t xml:space="preserve">og </w:t>
      </w:r>
      <w:r>
        <w:t xml:space="preserve">innan þess tímaramma sem </w:t>
      </w:r>
      <w:r w:rsidR="00984574">
        <w:t>þar er ákvarðaður</w:t>
      </w:r>
      <w:r>
        <w:t>.</w:t>
      </w:r>
      <w:r w:rsidR="00B83924">
        <w:t xml:space="preserve"> </w:t>
      </w:r>
    </w:p>
    <w:p w14:paraId="0BABB370" w14:textId="2A224FC4" w:rsidR="00367AA4" w:rsidRDefault="002F2488" w:rsidP="00506585">
      <w:pPr>
        <w:pStyle w:val="Heading2"/>
      </w:pPr>
      <w:r>
        <w:t xml:space="preserve">Verktaki skal ábyrgjast gæði þjónustunnar og afurða þjónustunnar eins og nánar er mælt fyrir um í grein 4 í samningi þessum. </w:t>
      </w:r>
    </w:p>
    <w:p w14:paraId="09CC2821" w14:textId="77777777" w:rsidR="0076228B" w:rsidRDefault="009A013D" w:rsidP="00506585">
      <w:pPr>
        <w:pStyle w:val="Heading2"/>
      </w:pPr>
      <w:r>
        <w:t xml:space="preserve">Verktaki skal fara að öllu eftir lögum og reglum við veitingu þjónustunnar. </w:t>
      </w:r>
    </w:p>
    <w:p w14:paraId="7E870005" w14:textId="316F87E5" w:rsidR="00B83924" w:rsidRDefault="0069408D" w:rsidP="00506585">
      <w:pPr>
        <w:pStyle w:val="Heading2"/>
      </w:pPr>
      <w:r>
        <w:t>Sveitarfélag/stofnun</w:t>
      </w:r>
      <w:r w:rsidR="00367AA4">
        <w:t xml:space="preserve"> skal tryggja v</w:t>
      </w:r>
      <w:r w:rsidR="00B83924">
        <w:t xml:space="preserve">erktaka þá aðstöðu, upplýsingar </w:t>
      </w:r>
      <w:r w:rsidR="0074195D">
        <w:t>og/</w:t>
      </w:r>
      <w:r w:rsidR="00B83924">
        <w:t xml:space="preserve">eða aðgang að starfsfólki </w:t>
      </w:r>
      <w:r w:rsidR="0076228B">
        <w:t>eins og sérstaklega er kveðið á um</w:t>
      </w:r>
      <w:r w:rsidR="00B83924">
        <w:t xml:space="preserve"> í viðauka 1</w:t>
      </w:r>
      <w:r w:rsidR="00AD3963">
        <w:t>, eftir því sem við á</w:t>
      </w:r>
      <w:r w:rsidR="00B83924">
        <w:t>.</w:t>
      </w:r>
    </w:p>
    <w:p w14:paraId="1F8116A2" w14:textId="2C34E684" w:rsidR="00B66D7E" w:rsidRPr="00277BF4" w:rsidRDefault="00B66D7E" w:rsidP="00506585">
      <w:pPr>
        <w:pStyle w:val="Heading1"/>
      </w:pPr>
      <w:r w:rsidRPr="00277BF4">
        <w:t>Greiðslur</w:t>
      </w:r>
      <w:bookmarkEnd w:id="11"/>
      <w:bookmarkEnd w:id="12"/>
      <w:bookmarkEnd w:id="13"/>
    </w:p>
    <w:p w14:paraId="031C7C86" w14:textId="5A7E51B5" w:rsidR="00A83F56" w:rsidRPr="00B97786" w:rsidRDefault="00B66D7E" w:rsidP="00506585">
      <w:pPr>
        <w:pStyle w:val="Heading2"/>
      </w:pPr>
      <w:r>
        <w:t>Fyrir þjónustu</w:t>
      </w:r>
      <w:r w:rsidR="00A83F56">
        <w:t>na</w:t>
      </w:r>
      <w:r>
        <w:t xml:space="preserve"> skal </w:t>
      </w:r>
      <w:r w:rsidR="0069408D">
        <w:t>sveitarfélag/stofnun</w:t>
      </w:r>
      <w:r w:rsidR="546D2F54">
        <w:t xml:space="preserve"> </w:t>
      </w:r>
      <w:r>
        <w:t xml:space="preserve">greiða </w:t>
      </w:r>
      <w:r w:rsidR="00A83F56">
        <w:t>verktaka</w:t>
      </w:r>
      <w:r>
        <w:t xml:space="preserve"> </w:t>
      </w:r>
      <w:r w:rsidR="00B83924">
        <w:t xml:space="preserve">þá þóknun sem fram kemur í viðauka </w:t>
      </w:r>
      <w:r w:rsidR="00F35790">
        <w:t>2</w:t>
      </w:r>
      <w:r w:rsidR="00A83F56">
        <w:t>.</w:t>
      </w:r>
      <w:r w:rsidR="0032657C">
        <w:t xml:space="preserve"> Allar fjárhæðir eru í íslenskum krónum og án virðisaukaskatts, </w:t>
      </w:r>
      <w:r w:rsidR="00AD3963">
        <w:t>nema annað sé tekið fram</w:t>
      </w:r>
      <w:r w:rsidR="0032657C">
        <w:t>.</w:t>
      </w:r>
    </w:p>
    <w:p w14:paraId="284E9303" w14:textId="0457B9ED" w:rsidR="00A83F56" w:rsidRPr="00B97786" w:rsidRDefault="00A83F56" w:rsidP="00506585">
      <w:pPr>
        <w:pStyle w:val="Heading2"/>
      </w:pPr>
      <w:r w:rsidRPr="00B97786">
        <w:t xml:space="preserve">Verktaki skal senda </w:t>
      </w:r>
      <w:r w:rsidR="0069408D">
        <w:t>þjónustukaupa</w:t>
      </w:r>
      <w:r w:rsidR="00B83924">
        <w:t xml:space="preserve"> reikning vegna þjónustunnar og me</w:t>
      </w:r>
      <w:r w:rsidRPr="00B97786">
        <w:t xml:space="preserve">ð </w:t>
      </w:r>
      <w:r w:rsidR="00B83924">
        <w:t xml:space="preserve">reikningum skal fylgja tímaskýrsla og/eða </w:t>
      </w:r>
      <w:r w:rsidRPr="00B97786">
        <w:t>lýsing á þeirri þjónu</w:t>
      </w:r>
      <w:r w:rsidR="00AD3963">
        <w:t>stu sem reikningurinn tekur til</w:t>
      </w:r>
      <w:r w:rsidR="00B83924">
        <w:t>.</w:t>
      </w:r>
    </w:p>
    <w:p w14:paraId="264056CD" w14:textId="17177172" w:rsidR="00B66D7E" w:rsidRPr="0069408D" w:rsidRDefault="00B66D7E" w:rsidP="00506585">
      <w:pPr>
        <w:pStyle w:val="Heading2"/>
      </w:pPr>
      <w:r w:rsidRPr="0069408D">
        <w:t xml:space="preserve">Reikningstímabil miðast við </w:t>
      </w:r>
      <w:r w:rsidR="69EED26F" w:rsidRPr="001046EE">
        <w:rPr>
          <w:highlight w:val="lightGray"/>
        </w:rPr>
        <w:t>[</w:t>
      </w:r>
      <w:r w:rsidR="69EED26F" w:rsidRPr="001046EE">
        <w:rPr>
          <w:i/>
          <w:iCs/>
          <w:highlight w:val="lightGray"/>
        </w:rPr>
        <w:t xml:space="preserve">skilgreining tímabils, t.d. </w:t>
      </w:r>
      <w:r w:rsidR="0069408D" w:rsidRPr="001046EE">
        <w:rPr>
          <w:i/>
          <w:iCs/>
          <w:highlight w:val="lightGray"/>
        </w:rPr>
        <w:t>a</w:t>
      </w:r>
      <w:r w:rsidRPr="001046EE">
        <w:rPr>
          <w:i/>
          <w:iCs/>
          <w:highlight w:val="lightGray"/>
        </w:rPr>
        <w:t>lmanaksmánuð</w:t>
      </w:r>
      <w:r w:rsidR="4DA4CB2B" w:rsidRPr="001046EE">
        <w:rPr>
          <w:i/>
          <w:iCs/>
          <w:highlight w:val="lightGray"/>
        </w:rPr>
        <w:t>ur</w:t>
      </w:r>
      <w:r w:rsidR="4DA4CB2B" w:rsidRPr="001046EE">
        <w:rPr>
          <w:highlight w:val="lightGray"/>
        </w:rPr>
        <w:t>]</w:t>
      </w:r>
      <w:r w:rsidRPr="001046EE">
        <w:rPr>
          <w:highlight w:val="lightGray"/>
        </w:rPr>
        <w:t xml:space="preserve">. Gjalddagi reikninga er </w:t>
      </w:r>
      <w:r w:rsidR="6E09A315" w:rsidRPr="001046EE">
        <w:rPr>
          <w:highlight w:val="lightGray"/>
        </w:rPr>
        <w:t>[</w:t>
      </w:r>
      <w:r w:rsidR="6E09A315" w:rsidRPr="001046EE">
        <w:rPr>
          <w:i/>
          <w:iCs/>
          <w:highlight w:val="lightGray"/>
        </w:rPr>
        <w:t xml:space="preserve">t.d. </w:t>
      </w:r>
      <w:r w:rsidRPr="001046EE">
        <w:rPr>
          <w:i/>
          <w:iCs/>
          <w:highlight w:val="lightGray"/>
        </w:rPr>
        <w:t>20. sama mánaðar</w:t>
      </w:r>
      <w:r w:rsidR="19DB9274" w:rsidRPr="001046EE">
        <w:rPr>
          <w:highlight w:val="lightGray"/>
        </w:rPr>
        <w:t>]</w:t>
      </w:r>
      <w:r w:rsidRPr="001046EE">
        <w:rPr>
          <w:highlight w:val="lightGray"/>
        </w:rPr>
        <w:t xml:space="preserve"> og útgáfudagur og eindagi er </w:t>
      </w:r>
      <w:r w:rsidR="64F21C98" w:rsidRPr="001046EE">
        <w:rPr>
          <w:highlight w:val="lightGray"/>
        </w:rPr>
        <w:t>[</w:t>
      </w:r>
      <w:r w:rsidR="64F21C98" w:rsidRPr="001046EE">
        <w:rPr>
          <w:i/>
          <w:iCs/>
          <w:highlight w:val="lightGray"/>
        </w:rPr>
        <w:t xml:space="preserve">t.d. </w:t>
      </w:r>
      <w:r w:rsidRPr="001046EE">
        <w:rPr>
          <w:i/>
          <w:iCs/>
          <w:highlight w:val="lightGray"/>
        </w:rPr>
        <w:t>2. næsta mánaðar eftir gjalddaga</w:t>
      </w:r>
      <w:r w:rsidR="77254858" w:rsidRPr="001046EE">
        <w:rPr>
          <w:highlight w:val="lightGray"/>
        </w:rPr>
        <w:t>]</w:t>
      </w:r>
      <w:r w:rsidR="00FD3683" w:rsidRPr="0069408D">
        <w:t>.</w:t>
      </w:r>
    </w:p>
    <w:p w14:paraId="1E9E1828" w14:textId="2E4BF1CA" w:rsidR="00B66D7E" w:rsidRPr="0069408D" w:rsidRDefault="00B66D7E" w:rsidP="00506585">
      <w:pPr>
        <w:pStyle w:val="Heading2"/>
      </w:pPr>
      <w:r w:rsidRPr="0069408D">
        <w:t>Ef greiðslur eru ekki inntar af hendi á eindaga reiknast á þær dráttarvextir frá gjalddaga kröfunnar, sbr. 1. mgr. 6. gr. laga nr. 38/</w:t>
      </w:r>
      <w:r w:rsidR="0032657C" w:rsidRPr="0069408D">
        <w:t>2001 um vexti og verðtryggingu</w:t>
      </w:r>
      <w:r w:rsidRPr="0069408D">
        <w:t>.</w:t>
      </w:r>
    </w:p>
    <w:p w14:paraId="432C4504" w14:textId="5188201C" w:rsidR="00F35790" w:rsidRPr="0069408D" w:rsidRDefault="00F35790" w:rsidP="00506585">
      <w:pPr>
        <w:pStyle w:val="Heading1"/>
      </w:pPr>
      <w:bookmarkStart w:id="14" w:name="_Toc535392724"/>
      <w:bookmarkStart w:id="15" w:name="_Toc2083961"/>
      <w:bookmarkStart w:id="16" w:name="_Toc118173426"/>
      <w:bookmarkStart w:id="17" w:name="_Toc428178232"/>
      <w:bookmarkStart w:id="18" w:name="_Toc476578469"/>
      <w:bookmarkStart w:id="19" w:name="_Toc500084333"/>
      <w:bookmarkStart w:id="20" w:name="_Toc503635511"/>
      <w:bookmarkEnd w:id="9"/>
      <w:bookmarkEnd w:id="10"/>
      <w:r w:rsidRPr="0069408D">
        <w:lastRenderedPageBreak/>
        <w:t>GÆÐI ÞJÓNUSTUNNAR OG AFURÐARINNAR</w:t>
      </w:r>
    </w:p>
    <w:p w14:paraId="755EA831" w14:textId="419BB092" w:rsidR="00B94509" w:rsidRDefault="00DF154D" w:rsidP="005419E4">
      <w:pPr>
        <w:pStyle w:val="Heading2"/>
        <w:spacing w:after="120"/>
        <w:ind w:left="634" w:hanging="634"/>
      </w:pPr>
      <w:r>
        <w:t>Með samningi þessum ábyrgist v</w:t>
      </w:r>
      <w:r w:rsidR="00B94509">
        <w:t>erktaki að:</w:t>
      </w:r>
    </w:p>
    <w:p w14:paraId="30187293" w14:textId="60D1FFB6" w:rsidR="00B94509" w:rsidRPr="001E12A4" w:rsidRDefault="00B94509" w:rsidP="001E12A4">
      <w:pPr>
        <w:pStyle w:val="Heading4"/>
      </w:pPr>
      <w:r w:rsidRPr="001E12A4">
        <w:t>inna þjónustuna af hendi í samræmi við góða starfshætti</w:t>
      </w:r>
      <w:r w:rsidR="00DF154D">
        <w:t xml:space="preserve"> og í samræmi við það sem er viðurkennt á markaði í tengslum við þjónustu þá sem veitt er (e. </w:t>
      </w:r>
      <w:proofErr w:type="spellStart"/>
      <w:r w:rsidR="00DF154D">
        <w:t>industry</w:t>
      </w:r>
      <w:proofErr w:type="spellEnd"/>
      <w:r w:rsidR="00DF154D">
        <w:t xml:space="preserve"> </w:t>
      </w:r>
      <w:proofErr w:type="spellStart"/>
      <w:r w:rsidR="00DF154D">
        <w:t>practice</w:t>
      </w:r>
      <w:proofErr w:type="spellEnd"/>
      <w:r w:rsidR="00DF154D">
        <w:t>)</w:t>
      </w:r>
      <w:r w:rsidRPr="001E12A4">
        <w:t>;</w:t>
      </w:r>
    </w:p>
    <w:p w14:paraId="566F3A03" w14:textId="70E8465B" w:rsidR="00B94509" w:rsidRPr="001E12A4" w:rsidRDefault="00B94509" w:rsidP="001E12A4">
      <w:pPr>
        <w:pStyle w:val="Heading4"/>
      </w:pPr>
      <w:r w:rsidRPr="001E12A4">
        <w:t>þjónustan mun vera í fullu samræmi við alla lý</w:t>
      </w:r>
      <w:r w:rsidRPr="00506585">
        <w:t xml:space="preserve">singar og tæknilegar upplýsingar sem </w:t>
      </w:r>
      <w:r w:rsidR="0069408D">
        <w:t>sveitarfélag/stofnun</w:t>
      </w:r>
      <w:r w:rsidRPr="00506585">
        <w:t xml:space="preserve"> lætur verktaka í té, </w:t>
      </w:r>
      <w:r w:rsidR="00506585">
        <w:t>til að mynda í verkefnaáætlun</w:t>
      </w:r>
      <w:r w:rsidRPr="00506585">
        <w:t xml:space="preserve"> </w:t>
      </w:r>
      <w:r w:rsidR="00346C70" w:rsidRPr="00506585">
        <w:t>sem kemur fram í viðauka 1</w:t>
      </w:r>
      <w:r w:rsidR="00FE00AC" w:rsidRPr="001E12A4">
        <w:t xml:space="preserve"> og hæfa þeim tilgangi sem </w:t>
      </w:r>
      <w:r w:rsidR="0069408D">
        <w:t>sveitarfélag/stofnun</w:t>
      </w:r>
      <w:r w:rsidR="00FE00AC" w:rsidRPr="001E12A4">
        <w:t xml:space="preserve"> hefur gert verktaka kunnugt um bein</w:t>
      </w:r>
      <w:r w:rsidR="00FE00AC" w:rsidRPr="00506585">
        <w:t>t eða óbeint</w:t>
      </w:r>
      <w:r w:rsidRPr="001E12A4">
        <w:t>;</w:t>
      </w:r>
    </w:p>
    <w:p w14:paraId="124D91B1" w14:textId="67E95996" w:rsidR="00B94509" w:rsidRPr="00506585" w:rsidRDefault="00DF154D" w:rsidP="001E12A4">
      <w:pPr>
        <w:pStyle w:val="Heading4"/>
      </w:pPr>
      <w:r>
        <w:t>afurð þjónustunnar uppfylli kröfur um</w:t>
      </w:r>
      <w:r w:rsidR="001046EE">
        <w:t xml:space="preserve"> </w:t>
      </w:r>
      <w:r w:rsidR="005C7C4D" w:rsidRPr="00506585">
        <w:t>innbyggð</w:t>
      </w:r>
      <w:r>
        <w:t>a</w:t>
      </w:r>
      <w:r w:rsidR="005C7C4D" w:rsidRPr="00506585">
        <w:t xml:space="preserve"> og sjálfgef</w:t>
      </w:r>
      <w:r>
        <w:t>na</w:t>
      </w:r>
      <w:r w:rsidR="005C7C4D" w:rsidRPr="00506585">
        <w:t xml:space="preserve"> persónuvernd, sbr. 25. gr. laga nr. 90/2018 um persónuupplýsingar og vinnslu persónuupplýsinga</w:t>
      </w:r>
      <w:r w:rsidR="00506585">
        <w:t xml:space="preserve">, </w:t>
      </w:r>
      <w:r>
        <w:t>eftir því sem</w:t>
      </w:r>
      <w:r w:rsidR="00506585">
        <w:t xml:space="preserve"> við á</w:t>
      </w:r>
      <w:r w:rsidR="00B94509" w:rsidRPr="00506585">
        <w:t>;</w:t>
      </w:r>
    </w:p>
    <w:p w14:paraId="51CFB531" w14:textId="56BE472B" w:rsidR="00B94509" w:rsidRPr="00506585" w:rsidRDefault="00FE00AC" w:rsidP="00506585">
      <w:pPr>
        <w:pStyle w:val="Heading4"/>
      </w:pPr>
      <w:r w:rsidRPr="00506585">
        <w:t xml:space="preserve">gera allt sem í hans valdi stendur til að tryggja að </w:t>
      </w:r>
      <w:r w:rsidR="00506585">
        <w:t xml:space="preserve">þjónustan og </w:t>
      </w:r>
      <w:r w:rsidRPr="00506585">
        <w:t xml:space="preserve">allar afurðir </w:t>
      </w:r>
      <w:r w:rsidR="00506585">
        <w:t xml:space="preserve">hennar </w:t>
      </w:r>
      <w:r w:rsidRPr="00506585">
        <w:t>verði lausar við vírus</w:t>
      </w:r>
      <w:r w:rsidR="00DF154D">
        <w:t>a</w:t>
      </w:r>
      <w:r w:rsidRPr="00506585">
        <w:t xml:space="preserve"> </w:t>
      </w:r>
      <w:r w:rsidR="00DF154D">
        <w:t>og/</w:t>
      </w:r>
      <w:r w:rsidRPr="00506585">
        <w:t xml:space="preserve">eða aðra kvilla og skal lagfæra alla slíka kvilla sem </w:t>
      </w:r>
      <w:r w:rsidR="00506585">
        <w:t xml:space="preserve">verktaki </w:t>
      </w:r>
      <w:r w:rsidRPr="00506585">
        <w:t>uppgötvar, hefði átt að uppgötva eða er tilkynnt um</w:t>
      </w:r>
      <w:r w:rsidR="00DF154D">
        <w:t>, eftir því sem við á</w:t>
      </w:r>
      <w:r w:rsidR="00CA5F46">
        <w:t>.</w:t>
      </w:r>
    </w:p>
    <w:p w14:paraId="63F6180F" w14:textId="5FC5D293" w:rsidR="00367AA4" w:rsidRDefault="0076228B" w:rsidP="00506585">
      <w:pPr>
        <w:pStyle w:val="Heading1"/>
      </w:pPr>
      <w:r>
        <w:t>hugverkaréttindi</w:t>
      </w:r>
    </w:p>
    <w:p w14:paraId="6874BAE0" w14:textId="7E5C6A84" w:rsidR="002B14A5" w:rsidRDefault="00CE54B8" w:rsidP="0035098E">
      <w:pPr>
        <w:pStyle w:val="Heading2"/>
      </w:pPr>
      <w:bookmarkStart w:id="21" w:name="_Toc243881339"/>
      <w:r w:rsidRPr="00FD3683">
        <w:t xml:space="preserve">Samningsaðilar eru sammála um það að </w:t>
      </w:r>
      <w:r w:rsidR="002B14A5">
        <w:t>afurðir</w:t>
      </w:r>
      <w:r w:rsidR="002B14A5" w:rsidRPr="00FD3683">
        <w:t xml:space="preserve"> </w:t>
      </w:r>
      <w:r w:rsidRPr="00FD3683">
        <w:t>þjónustunnar</w:t>
      </w:r>
      <w:r w:rsidR="00614966" w:rsidRPr="00FD3683">
        <w:t xml:space="preserve"> og öll hugverkaréttindi</w:t>
      </w:r>
      <w:r w:rsidRPr="00FD3683">
        <w:t xml:space="preserve"> skuli vera eign </w:t>
      </w:r>
      <w:r w:rsidR="0069408D">
        <w:t>þjónustukaupa</w:t>
      </w:r>
      <w:r w:rsidRPr="00FD3683">
        <w:t xml:space="preserve">, nema annað komi skýrt fram í viðauka 1. Verktaki framselur því til </w:t>
      </w:r>
      <w:r w:rsidR="0069408D">
        <w:t>þjónustukaupa</w:t>
      </w:r>
      <w:r w:rsidRPr="00FD3683">
        <w:t xml:space="preserve"> </w:t>
      </w:r>
      <w:r w:rsidR="005055E2" w:rsidRPr="00FD3683">
        <w:t>allan hugverkarétt</w:t>
      </w:r>
      <w:r w:rsidR="005055E2">
        <w:t xml:space="preserve"> </w:t>
      </w:r>
      <w:r w:rsidR="00ED21CC">
        <w:t>að þeirri afurð</w:t>
      </w:r>
      <w:r>
        <w:t xml:space="preserve"> sem verður til vegna þjónustunnar</w:t>
      </w:r>
      <w:r w:rsidRPr="00AD3963">
        <w:t>.</w:t>
      </w:r>
    </w:p>
    <w:p w14:paraId="2DD17B36" w14:textId="78C25062" w:rsidR="00AD3963" w:rsidRDefault="00820710" w:rsidP="002B14A5">
      <w:pPr>
        <w:pStyle w:val="Heading2"/>
      </w:pPr>
      <w:bookmarkStart w:id="22" w:name="_Ref24033575"/>
      <w:r>
        <w:t xml:space="preserve">Verktaki ábyrgist að þjónustan og afurðir hennar muni ekki á nokkurn hátt brjóta gegn réttindum þriðja aðila. </w:t>
      </w:r>
      <w:r w:rsidR="00AD3963" w:rsidRPr="00AD3963">
        <w:t xml:space="preserve">Verktaki skal (a) halda uppi vörnum fyrir </w:t>
      </w:r>
      <w:r w:rsidR="0069408D">
        <w:t>þjónustukaupa</w:t>
      </w:r>
      <w:r w:rsidR="00AD3963" w:rsidRPr="00AD3963">
        <w:t xml:space="preserve"> gegn hvers konar málsókn og kröfugerð á hendur </w:t>
      </w:r>
      <w:r w:rsidR="0069408D">
        <w:t>sveitarfélagi/stofnun</w:t>
      </w:r>
      <w:r w:rsidR="00AD3963" w:rsidRPr="00AD3963">
        <w:t xml:space="preserve"> þar sem því er haldið fram að þjónusta sú sem verktaki lætur </w:t>
      </w:r>
      <w:r w:rsidR="0069408D">
        <w:t>sveitarfélag/stofnun</w:t>
      </w:r>
      <w:r w:rsidR="00AD3963" w:rsidRPr="00AD3963">
        <w:t xml:space="preserve"> í té brjóti gegn hugverkarétti og/eða öðrum eignarréttindum þriðju aðila; og (b) greiða kostnað, skaðabætur og málskostnað sem falla kann á </w:t>
      </w:r>
      <w:r w:rsidR="0069408D">
        <w:t>Sveitarfélag/stofnun</w:t>
      </w:r>
      <w:r w:rsidR="00AD3963" w:rsidRPr="00AD3963">
        <w:t xml:space="preserve"> vegna slíkrar kröfugerðar þriðja aðila.</w:t>
      </w:r>
      <w:bookmarkEnd w:id="22"/>
    </w:p>
    <w:p w14:paraId="24A34492" w14:textId="6B79628F" w:rsidR="008C26F0" w:rsidRPr="00AD3963" w:rsidRDefault="005E507F" w:rsidP="005419E4">
      <w:pPr>
        <w:pStyle w:val="Heading2"/>
      </w:pPr>
      <w:r>
        <w:t xml:space="preserve">Að beiðni </w:t>
      </w:r>
      <w:r w:rsidR="0069408D">
        <w:t>þjónustukaupa</w:t>
      </w:r>
      <w:r>
        <w:t xml:space="preserve"> skal verktaki tafarlaust útbúa eða útvega hvað sem </w:t>
      </w:r>
      <w:r w:rsidR="0069408D">
        <w:t>Sveitarfélag/stofnun</w:t>
      </w:r>
      <w:r>
        <w:t xml:space="preserve"> gæti þarfnast á </w:t>
      </w:r>
      <w:r w:rsidR="002B14A5">
        <w:t xml:space="preserve">hverjum </w:t>
      </w:r>
      <w:r>
        <w:t xml:space="preserve">tíma til að tryggja að </w:t>
      </w:r>
      <w:r w:rsidR="0069408D">
        <w:t>Sveitarfélag/stofnun</w:t>
      </w:r>
      <w:r>
        <w:t xml:space="preserve"> geti að fullu nýtt þá þjónustu sem veitt er á grundvelli samnings þessa</w:t>
      </w:r>
      <w:r w:rsidR="002B14A5">
        <w:t xml:space="preserve"> og afurðir hennar</w:t>
      </w:r>
      <w:r>
        <w:t>, þ. á m. allan rétt,</w:t>
      </w:r>
      <w:r w:rsidR="00820710">
        <w:t xml:space="preserve"> leyfi,</w:t>
      </w:r>
      <w:r>
        <w:t xml:space="preserve"> eignarrétt og nýtingarétt hugverkaréttindanna og annarra réttinda sem </w:t>
      </w:r>
      <w:r w:rsidR="0069408D">
        <w:t>Sveitarfélagi/stofnun</w:t>
      </w:r>
      <w:r>
        <w:t xml:space="preserve"> er framselt á grundvelli greinar 5.1</w:t>
      </w:r>
      <w:r w:rsidR="002B14A5">
        <w:t>.</w:t>
      </w:r>
    </w:p>
    <w:p w14:paraId="672BD3FA" w14:textId="77777777" w:rsidR="008C26F0" w:rsidRPr="00277BF4" w:rsidRDefault="008C26F0" w:rsidP="00506585">
      <w:pPr>
        <w:pStyle w:val="Heading1"/>
      </w:pPr>
      <w:bookmarkStart w:id="23" w:name="_Ref24035912"/>
      <w:bookmarkEnd w:id="21"/>
      <w:r w:rsidRPr="00B97786">
        <w:t>persónuvernd</w:t>
      </w:r>
      <w:bookmarkEnd w:id="23"/>
      <w:r w:rsidRPr="00277BF4">
        <w:t xml:space="preserve"> </w:t>
      </w:r>
    </w:p>
    <w:p w14:paraId="176FFDCE" w14:textId="27865E8D" w:rsidR="008C26F0" w:rsidRDefault="008C26F0" w:rsidP="002B14A5">
      <w:pPr>
        <w:pStyle w:val="Heading2"/>
      </w:pPr>
      <w:bookmarkStart w:id="24" w:name="_Ref24035887"/>
      <w:r w:rsidRPr="00277BF4">
        <w:t>Komi til vinnslu persónuupplýsinga</w:t>
      </w:r>
      <w:r>
        <w:t xml:space="preserve"> af hálfu verktaka fyrir </w:t>
      </w:r>
      <w:r w:rsidR="0069408D">
        <w:t>Sveitarfélag/stofnun</w:t>
      </w:r>
      <w:r w:rsidRPr="00277BF4">
        <w:t xml:space="preserve"> í skilningi laga nr. </w:t>
      </w:r>
      <w:r>
        <w:t>90</w:t>
      </w:r>
      <w:r w:rsidRPr="00277BF4">
        <w:t>/20</w:t>
      </w:r>
      <w:r>
        <w:t>18</w:t>
      </w:r>
      <w:r w:rsidRPr="00277BF4">
        <w:t xml:space="preserve"> </w:t>
      </w:r>
      <w:r>
        <w:t>persónuvernd og vinnslu persónuupplýsinga,</w:t>
      </w:r>
      <w:r w:rsidRPr="00277BF4">
        <w:t xml:space="preserve"> skal </w:t>
      </w:r>
      <w:r w:rsidR="0069408D">
        <w:t>Sveitarfélag/stofnun</w:t>
      </w:r>
      <w:r w:rsidRPr="00277BF4">
        <w:t xml:space="preserve"> teljast ábyrgðaraðili í skilningi laganna og </w:t>
      </w:r>
      <w:r>
        <w:t>verktaki</w:t>
      </w:r>
      <w:r w:rsidRPr="00277BF4">
        <w:t xml:space="preserve"> vinnsluaðili, enda leiði ekki annan skilning af lögunum. </w:t>
      </w:r>
      <w:r w:rsidRPr="009D72E0">
        <w:t xml:space="preserve">Í tengslum við slíka vinnslu </w:t>
      </w:r>
      <w:r w:rsidR="0074195D">
        <w:t>er</w:t>
      </w:r>
      <w:r w:rsidR="0074195D" w:rsidRPr="009D72E0">
        <w:t xml:space="preserve"> </w:t>
      </w:r>
      <w:r>
        <w:t>verktaka</w:t>
      </w:r>
      <w:r w:rsidRPr="009D72E0">
        <w:t xml:space="preserve"> einungis heimilt að starfa í samræmi við </w:t>
      </w:r>
      <w:r>
        <w:t xml:space="preserve">skrifleg </w:t>
      </w:r>
      <w:r w:rsidRPr="009D72E0">
        <w:t xml:space="preserve">fyrirmæli </w:t>
      </w:r>
      <w:r w:rsidR="0069408D">
        <w:t>þjónustukaupa</w:t>
      </w:r>
      <w:r>
        <w:t>.</w:t>
      </w:r>
      <w:bookmarkEnd w:id="24"/>
    </w:p>
    <w:p w14:paraId="3E689576" w14:textId="4AC9DBFC" w:rsidR="008C26F0" w:rsidRDefault="008C26F0" w:rsidP="002B14A5">
      <w:pPr>
        <w:pStyle w:val="Heading2"/>
      </w:pPr>
      <w:r>
        <w:t>Í tengslum við vinnslu persónuupplýsinga, sbr. grein</w:t>
      </w:r>
      <w:r w:rsidR="002B14A5">
        <w:t xml:space="preserve"> </w:t>
      </w:r>
      <w:r w:rsidR="002B14A5">
        <w:fldChar w:fldCharType="begin"/>
      </w:r>
      <w:r w:rsidR="002B14A5">
        <w:instrText xml:space="preserve"> REF _Ref24035887 \r \h </w:instrText>
      </w:r>
      <w:r w:rsidR="002B14A5">
        <w:fldChar w:fldCharType="separate"/>
      </w:r>
      <w:r w:rsidR="00984574">
        <w:t>6.1</w:t>
      </w:r>
      <w:r w:rsidR="002B14A5">
        <w:fldChar w:fldCharType="end"/>
      </w:r>
      <w:r>
        <w:t xml:space="preserve">, skulu samningsaðilar gera með sér sérstakan vinnslusamning og skal slíkur vinnslusamningur vera viðauki við samning þennan. </w:t>
      </w:r>
    </w:p>
    <w:p w14:paraId="4D3AB099" w14:textId="12558B5F" w:rsidR="008C26F0" w:rsidRPr="009E1253" w:rsidRDefault="008C26F0" w:rsidP="002B14A5">
      <w:pPr>
        <w:pStyle w:val="Heading2"/>
      </w:pPr>
      <w:r>
        <w:t xml:space="preserve">Að því leyti sem </w:t>
      </w:r>
      <w:r w:rsidR="0069408D">
        <w:t>Sveitarfélag/stofnun</w:t>
      </w:r>
      <w:r>
        <w:t xml:space="preserve"> vinnur persónuupplýsingar um verktaka, mun sú vinnsla vera í samræmi við </w:t>
      </w:r>
      <w:r w:rsidRPr="001046EE">
        <w:rPr>
          <w:highlight w:val="lightGray"/>
        </w:rPr>
        <w:t xml:space="preserve">[persónuverndarstefnu </w:t>
      </w:r>
      <w:r w:rsidR="0069408D" w:rsidRPr="001046EE">
        <w:rPr>
          <w:highlight w:val="lightGray"/>
        </w:rPr>
        <w:t>þjónustukaupa</w:t>
      </w:r>
      <w:r w:rsidR="001046EE">
        <w:rPr>
          <w:highlight w:val="lightGray"/>
        </w:rPr>
        <w:t xml:space="preserve"> t.d. tilvísun í </w:t>
      </w:r>
      <w:r w:rsidR="001046EE">
        <w:rPr>
          <w:highlight w:val="lightGray"/>
        </w:rPr>
        <w:lastRenderedPageBreak/>
        <w:t>vefsíðu</w:t>
      </w:r>
      <w:r w:rsidRPr="001046EE">
        <w:rPr>
          <w:highlight w:val="lightGray"/>
        </w:rPr>
        <w:t>]</w:t>
      </w:r>
      <w:r w:rsidRPr="009E1253">
        <w:t xml:space="preserve"> sem </w:t>
      </w:r>
      <w:r w:rsidR="0069408D" w:rsidRPr="009E1253">
        <w:t>Sveitarfélag/stofnun</w:t>
      </w:r>
      <w:r w:rsidRPr="009E1253">
        <w:t xml:space="preserve"> hefur kynnt verktaka við undirritun undir samning þennan.</w:t>
      </w:r>
    </w:p>
    <w:p w14:paraId="7FA7D60B" w14:textId="75F122AC" w:rsidR="00B66D7E" w:rsidRPr="00C932E2" w:rsidRDefault="00B66D7E" w:rsidP="00506585">
      <w:pPr>
        <w:pStyle w:val="Heading1"/>
      </w:pPr>
      <w:r w:rsidRPr="00B97786">
        <w:t>Takmörkun</w:t>
      </w:r>
      <w:r w:rsidRPr="00C932E2">
        <w:t xml:space="preserve"> ábyrgðar</w:t>
      </w:r>
      <w:bookmarkEnd w:id="14"/>
      <w:bookmarkEnd w:id="15"/>
      <w:bookmarkEnd w:id="16"/>
      <w:bookmarkEnd w:id="17"/>
      <w:bookmarkEnd w:id="18"/>
    </w:p>
    <w:p w14:paraId="688DD8C2" w14:textId="4B51810D" w:rsidR="00B66D7E" w:rsidRPr="00277BF4" w:rsidRDefault="00B66D7E" w:rsidP="002B14A5">
      <w:pPr>
        <w:pStyle w:val="Heading2"/>
      </w:pPr>
      <w:r w:rsidRPr="00277BF4">
        <w:t xml:space="preserve">Bótaskylda </w:t>
      </w:r>
      <w:r w:rsidR="00614966">
        <w:t xml:space="preserve">samningsaðila </w:t>
      </w:r>
      <w:r w:rsidRPr="00277BF4">
        <w:t xml:space="preserve">takmarkast við beint tjón sem </w:t>
      </w:r>
      <w:r w:rsidR="00ED21CC">
        <w:t>gagnaðili kann</w:t>
      </w:r>
      <w:r w:rsidRPr="00277BF4">
        <w:t xml:space="preserve"> að verða fyrir í tengslum við </w:t>
      </w:r>
      <w:r>
        <w:t>samning þennan</w:t>
      </w:r>
      <w:r w:rsidRPr="00277BF4">
        <w:t xml:space="preserve">. Bótaábyrgð </w:t>
      </w:r>
      <w:r w:rsidR="00614966">
        <w:t xml:space="preserve">samningsaðila </w:t>
      </w:r>
      <w:r w:rsidRPr="00277BF4">
        <w:t xml:space="preserve">nær þannig ekki til óbeins eða afleidds tjóns </w:t>
      </w:r>
      <w:r w:rsidR="00614966">
        <w:t>gagnaðila, þ.m.t. rekstrartaps ef við á</w:t>
      </w:r>
      <w:r w:rsidRPr="00277BF4">
        <w:t>.</w:t>
      </w:r>
    </w:p>
    <w:p w14:paraId="6639A599" w14:textId="4E151373" w:rsidR="0032657C" w:rsidRPr="0032657C" w:rsidRDefault="0032657C" w:rsidP="002B14A5">
      <w:pPr>
        <w:pStyle w:val="Heading2"/>
      </w:pPr>
      <w:r>
        <w:t>Ekkert í þessum samningi skal takmarka ábyrgð samningsaðila vegna líkamstjóns eða vegna tjóns sem rekja má til stórkostlegs gáleysis eða ásetnings samningsaðila eða þess sem hann ber ábyrgð á.</w:t>
      </w:r>
      <w:r w:rsidR="00F51B2D">
        <w:t xml:space="preserve"> Það sama á við um tjón sem kann að verða í tengslum við vinnslu verktaka á persónuupplýsingum. </w:t>
      </w:r>
    </w:p>
    <w:p w14:paraId="447FB836" w14:textId="420C9144" w:rsidR="00B66D7E" w:rsidRDefault="00B66D7E" w:rsidP="002B14A5">
      <w:pPr>
        <w:pStyle w:val="Heading2"/>
      </w:pPr>
      <w:r w:rsidRPr="00277BF4">
        <w:t>Að öðru leyti fer um bótaábyrgð skv. almennum reglum skaðabótaréttar.</w:t>
      </w:r>
    </w:p>
    <w:p w14:paraId="58CE6700" w14:textId="77777777" w:rsidR="00B66D7E" w:rsidRPr="00277BF4" w:rsidRDefault="00B66D7E" w:rsidP="002B14A5">
      <w:pPr>
        <w:pStyle w:val="Heading1"/>
      </w:pPr>
      <w:bookmarkStart w:id="25" w:name="_Toc535392746"/>
      <w:bookmarkStart w:id="26" w:name="_Toc2083982"/>
      <w:bookmarkStart w:id="27" w:name="_Toc118173443"/>
      <w:bookmarkStart w:id="28" w:name="_Toc428178248"/>
      <w:bookmarkStart w:id="29" w:name="_Toc476578485"/>
      <w:bookmarkStart w:id="30" w:name="_Ref511743624"/>
      <w:bookmarkEnd w:id="19"/>
      <w:bookmarkEnd w:id="20"/>
      <w:r w:rsidRPr="00CD3653">
        <w:t>Trúna</w:t>
      </w:r>
      <w:bookmarkEnd w:id="25"/>
      <w:bookmarkEnd w:id="26"/>
      <w:bookmarkEnd w:id="27"/>
      <w:bookmarkEnd w:id="28"/>
      <w:bookmarkEnd w:id="29"/>
      <w:r w:rsidRPr="00CD3653">
        <w:t>ður</w:t>
      </w:r>
      <w:r>
        <w:t xml:space="preserve"> og framsal</w:t>
      </w:r>
      <w:bookmarkEnd w:id="30"/>
    </w:p>
    <w:p w14:paraId="503B2ED5" w14:textId="4B8C5596" w:rsidR="00B66D7E" w:rsidRPr="00CD3653" w:rsidRDefault="00B66D7E" w:rsidP="002B14A5">
      <w:pPr>
        <w:pStyle w:val="Heading2"/>
      </w:pPr>
      <w:r w:rsidRPr="00CD3653">
        <w:t xml:space="preserve">Samningsaðilar skulu halda fullum trúnaði um málefni sem þeir fá upplýsingar um frá gagnaðila og ætla má vegna eðlis og/eða aðstæðna, að fara skuli með sem trúnaðarmál, og skal sá </w:t>
      </w:r>
      <w:r>
        <w:t>samnings</w:t>
      </w:r>
      <w:r w:rsidRPr="00CD3653">
        <w:t>aðili á engan hátt færa sér slíkar upplýsingar í nyt nema í samræmi við ákvæði samningsins á gildistíma hans, sbr. t.a.m. ákvæði laga nr. 57/2005 um eftirlit með við</w:t>
      </w:r>
      <w:r w:rsidR="005055E2">
        <w:t>skiptaháttum og markaðssetningu</w:t>
      </w:r>
      <w:r w:rsidRPr="00CD3653">
        <w:t xml:space="preserve">. </w:t>
      </w:r>
    </w:p>
    <w:p w14:paraId="5E36BA54" w14:textId="77777777" w:rsidR="00ED21CC" w:rsidRDefault="00B66D7E" w:rsidP="002B14A5">
      <w:pPr>
        <w:pStyle w:val="Heading2"/>
      </w:pPr>
      <w:r w:rsidRPr="00277BF4">
        <w:t xml:space="preserve">Samningsaðilar skulu varðveita trúnaðarupplýsingar frá gagnaðila með jafn öruggum hætti og þeirra eigin trúnaðarmál, en þó aldrei verr en eðlilegt getur talist. </w:t>
      </w:r>
    </w:p>
    <w:p w14:paraId="25332C36" w14:textId="53D6BFC7" w:rsidR="00ED21CC" w:rsidRPr="00ED21CC" w:rsidRDefault="00ED21CC" w:rsidP="00744CB6">
      <w:pPr>
        <w:pStyle w:val="Heading2"/>
      </w:pPr>
      <w:r w:rsidRPr="00ED21CC">
        <w:t xml:space="preserve">Efni samnings þessa skal vera trúnaðarmál, </w:t>
      </w:r>
      <w:r w:rsidRPr="009E3A1B">
        <w:t>nema aðilar samþykki annað skriflega</w:t>
      </w:r>
      <w:r w:rsidR="008C26F0">
        <w:t xml:space="preserve"> eða lagaskylda kveði á um annað</w:t>
      </w:r>
      <w:r w:rsidRPr="00ED21CC">
        <w:t>.</w:t>
      </w:r>
    </w:p>
    <w:p w14:paraId="5CC9D8A5" w14:textId="5AC4E4BB" w:rsidR="005055E2" w:rsidRDefault="00B66D7E" w:rsidP="00744CB6">
      <w:pPr>
        <w:pStyle w:val="Heading2"/>
      </w:pPr>
      <w:r w:rsidRPr="00277BF4">
        <w:t>Trúnaðarskylda samningsaðila samkvæmt þessu</w:t>
      </w:r>
      <w:r w:rsidR="00392E14">
        <w:t xml:space="preserve">m kafla </w:t>
      </w:r>
      <w:r w:rsidR="00AD3963">
        <w:t>8</w:t>
      </w:r>
      <w:r w:rsidRPr="00277BF4">
        <w:t xml:space="preserve"> skal haldast </w:t>
      </w:r>
      <w:r w:rsidR="005055E2">
        <w:t>ótímabundið</w:t>
      </w:r>
      <w:r w:rsidRPr="00277BF4">
        <w:t>.</w:t>
      </w:r>
    </w:p>
    <w:p w14:paraId="75772CCE" w14:textId="062F1AE6" w:rsidR="00B66D7E" w:rsidRPr="00277BF4" w:rsidRDefault="00B66D7E" w:rsidP="00C92B8B">
      <w:pPr>
        <w:pStyle w:val="Heading2"/>
      </w:pPr>
      <w:r w:rsidRPr="00277BF4">
        <w:t xml:space="preserve">Hvorugur samningsaðila má selja, framselja eða yfirfæra á annan hátt þennan </w:t>
      </w:r>
      <w:r w:rsidR="005055E2">
        <w:t>samning</w:t>
      </w:r>
      <w:r>
        <w:t xml:space="preserve"> eða viðauka</w:t>
      </w:r>
      <w:r w:rsidRPr="00277BF4">
        <w:t xml:space="preserve"> eða einhver réttindi eða skyldur á grundvelli </w:t>
      </w:r>
      <w:r>
        <w:t>þeirra</w:t>
      </w:r>
      <w:r w:rsidRPr="00277BF4">
        <w:t xml:space="preserve">, í heild eða að hluta til, og sérhver tilraun til slíks framsals skal teljast ógild og marklaus nema fyrir liggi skriflegt samþykki gagnaðila. </w:t>
      </w:r>
    </w:p>
    <w:p w14:paraId="2E5D306C" w14:textId="77777777" w:rsidR="007262D2" w:rsidRPr="00624289" w:rsidRDefault="007262D2">
      <w:pPr>
        <w:pStyle w:val="Heading1"/>
      </w:pPr>
      <w:bookmarkStart w:id="31" w:name="_Toc476578479"/>
      <w:bookmarkStart w:id="32" w:name="_Toc535392750"/>
      <w:bookmarkStart w:id="33" w:name="_Toc2083986"/>
      <w:bookmarkStart w:id="34" w:name="_Toc118173447"/>
      <w:bookmarkStart w:id="35" w:name="_Toc428178252"/>
      <w:bookmarkStart w:id="36" w:name="_Toc476578487"/>
      <w:r w:rsidRPr="00B97786">
        <w:t>Gildistími</w:t>
      </w:r>
      <w:r w:rsidRPr="00624289">
        <w:t xml:space="preserve"> og samningslok</w:t>
      </w:r>
      <w:bookmarkStart w:id="37" w:name="_Toc500084302"/>
      <w:bookmarkStart w:id="38" w:name="_Toc503635490"/>
      <w:bookmarkStart w:id="39" w:name="_Toc118173412"/>
      <w:bookmarkStart w:id="40" w:name="_Toc335037725"/>
      <w:bookmarkStart w:id="41" w:name="_Toc428178218"/>
      <w:bookmarkEnd w:id="31"/>
    </w:p>
    <w:bookmarkEnd w:id="37"/>
    <w:bookmarkEnd w:id="38"/>
    <w:bookmarkEnd w:id="39"/>
    <w:bookmarkEnd w:id="40"/>
    <w:bookmarkEnd w:id="41"/>
    <w:p w14:paraId="48176F7B" w14:textId="187AD60F" w:rsidR="007262D2" w:rsidRDefault="007262D2">
      <w:pPr>
        <w:pStyle w:val="Heading2"/>
      </w:pPr>
      <w:r>
        <w:t>Samningur</w:t>
      </w:r>
      <w:r w:rsidRPr="00277BF4">
        <w:t xml:space="preserve"> þessi</w:t>
      </w:r>
      <w:r>
        <w:t xml:space="preserve"> tekur gildi frá undirritun </w:t>
      </w:r>
      <w:r w:rsidR="00F51B2D">
        <w:t xml:space="preserve">en </w:t>
      </w:r>
      <w:r>
        <w:t>í viðauka 1</w:t>
      </w:r>
      <w:r w:rsidR="00F51B2D">
        <w:t xml:space="preserve"> skal nánar afmarka gildistíma hans</w:t>
      </w:r>
      <w:r>
        <w:t xml:space="preserve">. </w:t>
      </w:r>
    </w:p>
    <w:p w14:paraId="461CB021" w14:textId="77777777" w:rsidR="007262D2" w:rsidRDefault="007262D2">
      <w:pPr>
        <w:pStyle w:val="Heading2"/>
      </w:pPr>
      <w:r>
        <w:t xml:space="preserve">Uppsögn og </w:t>
      </w:r>
      <w:proofErr w:type="spellStart"/>
      <w:r>
        <w:t>riftun</w:t>
      </w:r>
      <w:proofErr w:type="spellEnd"/>
      <w:r>
        <w:t xml:space="preserve"> samnings þessa leiðir sjálfkrafa til uppsagnar eða </w:t>
      </w:r>
      <w:proofErr w:type="spellStart"/>
      <w:r>
        <w:t>riftunar</w:t>
      </w:r>
      <w:proofErr w:type="spellEnd"/>
      <w:r>
        <w:t xml:space="preserve"> allra viðauka, nema um annað sé sérstaklega samið. </w:t>
      </w:r>
    </w:p>
    <w:p w14:paraId="559DB1C9" w14:textId="77777777" w:rsidR="007262D2" w:rsidRPr="009D56D2" w:rsidRDefault="007262D2">
      <w:pPr>
        <w:pStyle w:val="Heading2"/>
      </w:pPr>
      <w:r>
        <w:t xml:space="preserve">Uppsögn eða </w:t>
      </w:r>
      <w:proofErr w:type="spellStart"/>
      <w:r>
        <w:t>riftun</w:t>
      </w:r>
      <w:proofErr w:type="spellEnd"/>
      <w:r>
        <w:t xml:space="preserve"> eins viðauka skal engin áhrif hafa á gildi annarra viðauka eða samninginn að öðru leyti, að því tilskildu að samningsaðili sem </w:t>
      </w:r>
      <w:proofErr w:type="spellStart"/>
      <w:r>
        <w:t>vanefnt</w:t>
      </w:r>
      <w:proofErr w:type="spellEnd"/>
      <w:r>
        <w:t xml:space="preserve"> hefur ákvæði viðeigandi viðauka uppfylli að öðru leyti skilmála og skilyrði samningsins og annarra viðauka. </w:t>
      </w:r>
    </w:p>
    <w:p w14:paraId="1DBA5705" w14:textId="7D7D6399" w:rsidR="007262D2" w:rsidRDefault="007262D2">
      <w:pPr>
        <w:pStyle w:val="Heading2"/>
      </w:pPr>
      <w:r w:rsidRPr="00277BF4">
        <w:t xml:space="preserve">Báðir </w:t>
      </w:r>
      <w:r>
        <w:t>samnings</w:t>
      </w:r>
      <w:r w:rsidRPr="00277BF4">
        <w:t xml:space="preserve">aðilar skulu hafa rétt til að rifta </w:t>
      </w:r>
      <w:r>
        <w:t>samningi</w:t>
      </w:r>
      <w:r w:rsidRPr="00277BF4">
        <w:t xml:space="preserve"> þessum þegar í stað með skriflegri tilkynningu til gagnaðilans, með sannanlegum hætti þar sem ástæður </w:t>
      </w:r>
      <w:proofErr w:type="spellStart"/>
      <w:r w:rsidRPr="00277BF4">
        <w:t>riftunar</w:t>
      </w:r>
      <w:proofErr w:type="spellEnd"/>
      <w:r w:rsidRPr="00277BF4">
        <w:t xml:space="preserve"> eru tilgreindar, ef gagnaðilinn </w:t>
      </w:r>
      <w:proofErr w:type="spellStart"/>
      <w:r w:rsidRPr="00277BF4">
        <w:t>vanefn</w:t>
      </w:r>
      <w:r w:rsidR="0069408D">
        <w:t>d</w:t>
      </w:r>
      <w:r w:rsidRPr="00277BF4">
        <w:t>ir</w:t>
      </w:r>
      <w:proofErr w:type="spellEnd"/>
      <w:r w:rsidRPr="00277BF4">
        <w:t xml:space="preserve"> verulega skyldur sínar samkvæmt </w:t>
      </w:r>
      <w:r>
        <w:t>samningnum</w:t>
      </w:r>
      <w:r w:rsidRPr="00277BF4">
        <w:t xml:space="preserve">. </w:t>
      </w:r>
      <w:r>
        <w:t xml:space="preserve">Brot á trúnaðarskyldu verktaka og brot á vinnslusamningi skulu teljast veruleg </w:t>
      </w:r>
      <w:proofErr w:type="spellStart"/>
      <w:r>
        <w:t>vanefnd</w:t>
      </w:r>
      <w:proofErr w:type="spellEnd"/>
      <w:r>
        <w:t xml:space="preserve"> í skilningi ákvæðis þessa. </w:t>
      </w:r>
      <w:r w:rsidRPr="00277BF4">
        <w:t xml:space="preserve">Það er skilyrði </w:t>
      </w:r>
      <w:proofErr w:type="spellStart"/>
      <w:r w:rsidRPr="00277BF4">
        <w:t>riftunar</w:t>
      </w:r>
      <w:proofErr w:type="spellEnd"/>
      <w:r w:rsidRPr="00277BF4">
        <w:t xml:space="preserve"> samkvæmt </w:t>
      </w:r>
      <w:r w:rsidRPr="00277BF4">
        <w:lastRenderedPageBreak/>
        <w:t>framansögðu að gagnaðili hafi vanrækt að bæta úr slíkum ágöllum innan 14 daga frá því áskorun um slíkar úrbætur kemur fram</w:t>
      </w:r>
      <w:r>
        <w:t>, séu úrbætur mögulegar á þeim tíma</w:t>
      </w:r>
      <w:r w:rsidRPr="00277BF4">
        <w:t xml:space="preserve">. </w:t>
      </w:r>
    </w:p>
    <w:p w14:paraId="10A91CFB" w14:textId="7FAD6047" w:rsidR="007262D2" w:rsidRDefault="007262D2">
      <w:pPr>
        <w:pStyle w:val="Heading2"/>
      </w:pPr>
      <w:r w:rsidRPr="00277BF4">
        <w:t xml:space="preserve">Samningsaðilar skulu einnig hafa rétt á því að rifta </w:t>
      </w:r>
      <w:r>
        <w:t>samningi þessum</w:t>
      </w:r>
      <w:r w:rsidRPr="00277BF4">
        <w:t xml:space="preserve"> komi til þess að gagnaðili (a) s</w:t>
      </w:r>
      <w:r>
        <w:t>líti félaginu eða hætti rekstri;</w:t>
      </w:r>
      <w:r w:rsidRPr="00277BF4">
        <w:t xml:space="preserve"> (b) sæki um heimild til að leita nauðasamnings eða greiðslustöðvunar eða er tekinn til gjaldþrotaskiptameðferðar</w:t>
      </w:r>
      <w:r>
        <w:t>;</w:t>
      </w:r>
      <w:r w:rsidRPr="00277BF4">
        <w:t xml:space="preserve"> </w:t>
      </w:r>
      <w:r>
        <w:t xml:space="preserve">(c) eigendaskipti verða að félaginu þannig að meirihluti hluta er í höndum nýrra aðila; </w:t>
      </w:r>
      <w:r w:rsidRPr="00277BF4">
        <w:t>eða (</w:t>
      </w:r>
      <w:r>
        <w:t>d</w:t>
      </w:r>
      <w:r w:rsidRPr="00277BF4">
        <w:t xml:space="preserve">) </w:t>
      </w:r>
      <w:r>
        <w:t>gagnaðili fer</w:t>
      </w:r>
      <w:r w:rsidRPr="00277BF4">
        <w:t xml:space="preserve"> í greiðsluþrot eða verður háður beinni stjórn fjárhaldsmanns, skiptastjóra eða þess háttar opinbers aðila.</w:t>
      </w:r>
    </w:p>
    <w:p w14:paraId="39536F51" w14:textId="6ADC0280" w:rsidR="00FB6E5B" w:rsidRDefault="00FB6E5B" w:rsidP="005419E4">
      <w:pPr>
        <w:pStyle w:val="Heading2"/>
      </w:pPr>
      <w:r>
        <w:t xml:space="preserve">Um afleiðingar samningsloka fer eftir því sem tilgreint er í viðauka 1 við samninginn. </w:t>
      </w:r>
    </w:p>
    <w:p w14:paraId="04DB7AC4" w14:textId="77777777" w:rsidR="00B66D7E" w:rsidRPr="00277BF4" w:rsidRDefault="00B66D7E">
      <w:pPr>
        <w:pStyle w:val="Heading1"/>
      </w:pPr>
      <w:r w:rsidRPr="00277BF4">
        <w:t>Önnur ákvæði</w:t>
      </w:r>
      <w:bookmarkEnd w:id="32"/>
      <w:bookmarkEnd w:id="33"/>
      <w:bookmarkEnd w:id="34"/>
      <w:bookmarkEnd w:id="35"/>
    </w:p>
    <w:bookmarkEnd w:id="36"/>
    <w:p w14:paraId="7D30084F" w14:textId="4E62DABE" w:rsidR="009E3A1B" w:rsidRDefault="009E3A1B">
      <w:pPr>
        <w:pStyle w:val="Heading2"/>
      </w:pPr>
      <w:r w:rsidRPr="0089417E">
        <w:t>Ef einhver</w:t>
      </w:r>
      <w:r>
        <w:t xml:space="preserve"> </w:t>
      </w:r>
      <w:r w:rsidRPr="0089417E">
        <w:t xml:space="preserve">ákvæði þessa samnings </w:t>
      </w:r>
      <w:r>
        <w:t>eru</w:t>
      </w:r>
      <w:r w:rsidRPr="0089417E">
        <w:t xml:space="preserve"> í andstöðu við </w:t>
      </w:r>
      <w:proofErr w:type="spellStart"/>
      <w:r w:rsidRPr="0089417E">
        <w:t>ófrávíkjanleg</w:t>
      </w:r>
      <w:proofErr w:type="spellEnd"/>
      <w:r w:rsidRPr="0089417E">
        <w:t xml:space="preserve"> lög og reglur sem samningur þessi heyrir undir eða ef slík ákvæði eru dæmd ógild af dómstóli sem hefur lögsögu yfir samningsaðilum, skulu slík samningsákvæði um</w:t>
      </w:r>
      <w:r w:rsidR="0069408D">
        <w:t xml:space="preserve"> </w:t>
      </w:r>
      <w:r w:rsidRPr="0089417E">
        <w:t xml:space="preserve">orðuð á þann veg að sem minnst röskun verði á upphaflegum tilgangi samningsaðilanna innan ramma viðkomandi laga og dómsúrlausna, og skal samningurinn að öðru leyti halda fullu gildi. </w:t>
      </w:r>
    </w:p>
    <w:p w14:paraId="6BBAB64A" w14:textId="29CE039A" w:rsidR="00B66D7E" w:rsidRDefault="00B66D7E">
      <w:pPr>
        <w:pStyle w:val="Heading2"/>
      </w:pPr>
      <w:r w:rsidRPr="00277BF4">
        <w:t>Samningsaðilar verða ekki krafðir bóta vegna tafa á þjónustu sem rekja má til óviðráðanlegra ytri atvika (</w:t>
      </w:r>
      <w:r w:rsidR="005055E2" w:rsidRPr="00ED21CC">
        <w:rPr>
          <w:i/>
        </w:rPr>
        <w:t xml:space="preserve">e. </w:t>
      </w:r>
      <w:proofErr w:type="spellStart"/>
      <w:r w:rsidR="005055E2" w:rsidRPr="00ED21CC">
        <w:rPr>
          <w:i/>
        </w:rPr>
        <w:t>force</w:t>
      </w:r>
      <w:proofErr w:type="spellEnd"/>
      <w:r w:rsidR="005055E2" w:rsidRPr="00ED21CC">
        <w:rPr>
          <w:i/>
        </w:rPr>
        <w:t xml:space="preserve"> </w:t>
      </w:r>
      <w:proofErr w:type="spellStart"/>
      <w:r w:rsidR="005055E2" w:rsidRPr="00ED21CC">
        <w:rPr>
          <w:i/>
        </w:rPr>
        <w:t>m</w:t>
      </w:r>
      <w:r w:rsidRPr="00ED21CC">
        <w:rPr>
          <w:i/>
        </w:rPr>
        <w:t>ajeure</w:t>
      </w:r>
      <w:proofErr w:type="spellEnd"/>
      <w:r w:rsidRPr="00277BF4">
        <w:t>). Komi til þess að þjónust</w:t>
      </w:r>
      <w:r w:rsidR="00B97786">
        <w:t>a</w:t>
      </w:r>
      <w:r w:rsidRPr="00277BF4">
        <w:t xml:space="preserve"> </w:t>
      </w:r>
      <w:r w:rsidR="00B97786">
        <w:t>verktaka</w:t>
      </w:r>
      <w:r w:rsidRPr="00277BF4">
        <w:t xml:space="preserve"> fellur niður eða frestast vegna óviðráðanlegra ytri atvika, skal </w:t>
      </w:r>
      <w:r w:rsidR="00B97786">
        <w:t>verktaki</w:t>
      </w:r>
      <w:r w:rsidRPr="00277BF4">
        <w:t xml:space="preserve"> tilkynna </w:t>
      </w:r>
      <w:r w:rsidR="0069408D">
        <w:t>Sveitarfélagi/stofnun</w:t>
      </w:r>
      <w:r w:rsidRPr="00277BF4">
        <w:t xml:space="preserve"> um það með skriflegum hætti án tafar. Standi hindrun lengur en í 14 daga getur gagnaðili þó með 14 daga fyrirvara sagt </w:t>
      </w:r>
      <w:r w:rsidR="005055E2">
        <w:t>samningi þessum</w:t>
      </w:r>
      <w:r>
        <w:t xml:space="preserve"> </w:t>
      </w:r>
      <w:r w:rsidRPr="00277BF4">
        <w:t>upp. Hvorugur samningsaðila á þá kröfu á hendur hinum að öðru leyti en hvað varðar kröfur sem stofnast hafa áður en til hindrunar kom.</w:t>
      </w:r>
    </w:p>
    <w:p w14:paraId="3BB0A3F9" w14:textId="7088131A" w:rsidR="009E3A1B" w:rsidRDefault="009E3A1B">
      <w:pPr>
        <w:pStyle w:val="Heading2"/>
      </w:pPr>
      <w:r>
        <w:t>Samningsaðilar</w:t>
      </w:r>
      <w:r w:rsidRPr="0089417E">
        <w:t xml:space="preserve"> tilgreina í viðauka</w:t>
      </w:r>
      <w:r>
        <w:t xml:space="preserve"> 1</w:t>
      </w:r>
      <w:r w:rsidRPr="0089417E">
        <w:t xml:space="preserve"> við samning þennan tengiliði samningsins, hlutverk þeirra og skyldur. Samningsaðilar skulu ávallt tryggja að skilgreindir tengiliðir samningsins séu bæði hæfir og bærir til að fjalla um samninginn og taka ákvarðanir varðandi hann með skilvirkum hætti. Báðum aðilum ber skylda til þess að tilkynna gagnaðila eins fljótt og auðið er ef skipaður er nýr tengiliður.</w:t>
      </w:r>
    </w:p>
    <w:p w14:paraId="2F51B62C" w14:textId="15B544B5" w:rsidR="008C26F0" w:rsidRPr="008C26F0" w:rsidRDefault="008C26F0">
      <w:pPr>
        <w:pStyle w:val="Heading2"/>
      </w:pPr>
      <w:r>
        <w:t xml:space="preserve">Tilkynningar samkvæmt samningi þessum skulu sendar </w:t>
      </w:r>
      <w:r w:rsidR="00CB4FD5">
        <w:t>á tengiliði aðila í samræmi við viðauka 1.</w:t>
      </w:r>
    </w:p>
    <w:p w14:paraId="2E9C945A" w14:textId="060E0AE0" w:rsidR="00B66D7E" w:rsidRDefault="00B97786">
      <w:pPr>
        <w:pStyle w:val="Heading2"/>
      </w:pPr>
      <w:bookmarkStart w:id="42" w:name="_Toc535392759"/>
      <w:bookmarkStart w:id="43" w:name="_Toc2083995"/>
      <w:bookmarkStart w:id="44" w:name="_Toc118173456"/>
      <w:bookmarkStart w:id="45" w:name="_Toc428178262"/>
      <w:r>
        <w:t>Samningi</w:t>
      </w:r>
      <w:r w:rsidR="00B66D7E">
        <w:t xml:space="preserve"> þessum og viðaukum settum á grundvelli hans </w:t>
      </w:r>
      <w:r w:rsidR="00B66D7E" w:rsidRPr="00277BF4">
        <w:t xml:space="preserve">má aðeins breyta eða endurskoða með skriflegu skjali sem undirritað er af báðum samningsaðilum og verður hluti </w:t>
      </w:r>
      <w:r>
        <w:t>samningsins</w:t>
      </w:r>
      <w:r w:rsidR="00B66D7E" w:rsidRPr="00277BF4">
        <w:t xml:space="preserve">. </w:t>
      </w:r>
    </w:p>
    <w:p w14:paraId="7FF97CC0" w14:textId="77777777" w:rsidR="00B66D7E" w:rsidRPr="00785596" w:rsidRDefault="00B66D7E">
      <w:pPr>
        <w:pStyle w:val="Heading1"/>
      </w:pPr>
      <w:bookmarkStart w:id="46" w:name="_Toc476578494"/>
      <w:r w:rsidRPr="00785596">
        <w:t>Lagaval og varnarþing</w:t>
      </w:r>
      <w:bookmarkEnd w:id="46"/>
      <w:r w:rsidRPr="00785596">
        <w:t xml:space="preserve"> </w:t>
      </w:r>
    </w:p>
    <w:p w14:paraId="2133C810" w14:textId="34FE7EF7" w:rsidR="00B66D7E" w:rsidRDefault="00B66D7E">
      <w:pPr>
        <w:pStyle w:val="Heading2"/>
        <w:numPr>
          <w:ilvl w:val="0"/>
          <w:numId w:val="0"/>
        </w:numPr>
        <w:ind w:left="576"/>
      </w:pPr>
      <w:r w:rsidRPr="006D61BE">
        <w:t xml:space="preserve">Um </w:t>
      </w:r>
      <w:r w:rsidR="00E439AE">
        <w:t>samning þennan</w:t>
      </w:r>
      <w:r>
        <w:t xml:space="preserve"> og viðauka </w:t>
      </w:r>
      <w:r w:rsidRPr="006D61BE">
        <w:t>gilda íslensk lög og réttarreglur. Varnarþing skal vera hjá Héraðsdómi Reykjavíkur.</w:t>
      </w:r>
    </w:p>
    <w:p w14:paraId="48807F43" w14:textId="77777777" w:rsidR="009E1253" w:rsidRDefault="009E1253">
      <w:pPr>
        <w:spacing w:before="0" w:after="200" w:line="276" w:lineRule="auto"/>
        <w:jc w:val="left"/>
        <w:rPr>
          <w:b/>
          <w:bCs/>
          <w:caps/>
          <w:kern w:val="32"/>
          <w:szCs w:val="28"/>
          <w:highlight w:val="lightGray"/>
        </w:rPr>
      </w:pPr>
      <w:r>
        <w:rPr>
          <w:highlight w:val="lightGray"/>
        </w:rPr>
        <w:br w:type="page"/>
      </w:r>
    </w:p>
    <w:p w14:paraId="371D2DB4" w14:textId="60917D4B" w:rsidR="003B21AD" w:rsidRDefault="003B21AD" w:rsidP="009E1253">
      <w:pPr>
        <w:pStyle w:val="Heading1"/>
        <w:numPr>
          <w:ilvl w:val="0"/>
          <w:numId w:val="0"/>
        </w:numPr>
      </w:pPr>
      <w:r>
        <w:lastRenderedPageBreak/>
        <w:t>UNDIRRITUN og eintök samnings</w:t>
      </w:r>
    </w:p>
    <w:p w14:paraId="4E56B79A" w14:textId="52D82A3F" w:rsidR="003B21AD" w:rsidRDefault="003B21AD" w:rsidP="00FB6E5B">
      <w:pPr>
        <w:pStyle w:val="Heading2"/>
      </w:pPr>
      <w:r>
        <w:t>Öllu framan</w:t>
      </w:r>
      <w:r w:rsidR="0069408D">
        <w:t xml:space="preserve"> </w:t>
      </w:r>
      <w:r>
        <w:t>rituðu til staðfestu rita fulltrúar aðilar nöfn sín undir samning þennan í votta viðurvist. Með undirritun ábyrgjast viðkomandi einstaklingar jafnframt að þeir hafi umboð til að skuldbinda aðila</w:t>
      </w:r>
      <w:r w:rsidRPr="000102FE">
        <w:t>, með þeim hætti sem samningur</w:t>
      </w:r>
      <w:r w:rsidR="00F51B2D">
        <w:t>inn</w:t>
      </w:r>
      <w:r w:rsidRPr="000102FE">
        <w:t xml:space="preserve"> gerir ráð fyrir</w:t>
      </w:r>
      <w:r>
        <w:t>.</w:t>
      </w:r>
    </w:p>
    <w:p w14:paraId="102098AC" w14:textId="34923958" w:rsidR="003B21AD" w:rsidRDefault="003B21AD" w:rsidP="005419E4">
      <w:pPr>
        <w:pStyle w:val="Heading2"/>
      </w:pPr>
      <w:r>
        <w:t xml:space="preserve">Samningurinn er gerður </w:t>
      </w:r>
      <w:r w:rsidR="00CA5F46">
        <w:t>í tveimur samhljóða eintökum og skulu aðilar hvor halda sínu eintaki.</w:t>
      </w:r>
      <w:r w:rsidR="001046EE">
        <w:t xml:space="preserve"> </w:t>
      </w:r>
    </w:p>
    <w:p w14:paraId="62ACCF59" w14:textId="77777777" w:rsidR="009E1253" w:rsidRPr="009E1253" w:rsidRDefault="009E1253" w:rsidP="009E1253"/>
    <w:bookmarkEnd w:id="42"/>
    <w:bookmarkEnd w:id="43"/>
    <w:bookmarkEnd w:id="44"/>
    <w:bookmarkEnd w:id="45"/>
    <w:p w14:paraId="65FA48BA" w14:textId="6B847EF0" w:rsidR="00B66D7E" w:rsidRPr="00A93AE3" w:rsidRDefault="009E1253" w:rsidP="00B66D7E">
      <w:pPr>
        <w:pStyle w:val="Heading6"/>
      </w:pPr>
      <w:r w:rsidRPr="001046EE">
        <w:rPr>
          <w:highlight w:val="lightGray"/>
        </w:rPr>
        <w:t xml:space="preserve">[Staður og </w:t>
      </w:r>
      <w:r w:rsidR="00B66D7E" w:rsidRPr="001046EE">
        <w:rPr>
          <w:highlight w:val="lightGray"/>
        </w:rPr>
        <w:t>dagsetning]</w:t>
      </w:r>
    </w:p>
    <w:tbl>
      <w:tblPr>
        <w:tblW w:w="8568" w:type="dxa"/>
        <w:tblLayout w:type="fixed"/>
        <w:tblLook w:val="0000" w:firstRow="0" w:lastRow="0" w:firstColumn="0" w:lastColumn="0" w:noHBand="0" w:noVBand="0"/>
      </w:tblPr>
      <w:tblGrid>
        <w:gridCol w:w="4248"/>
        <w:gridCol w:w="236"/>
        <w:gridCol w:w="4084"/>
      </w:tblGrid>
      <w:tr w:rsidR="00B66D7E" w:rsidRPr="00A93AE3" w14:paraId="5A3BAC4A" w14:textId="77777777" w:rsidTr="00E439AE">
        <w:trPr>
          <w:cantSplit/>
          <w:trHeight w:val="989"/>
        </w:trPr>
        <w:tc>
          <w:tcPr>
            <w:tcW w:w="4248" w:type="dxa"/>
            <w:tcBorders>
              <w:bottom w:val="single" w:sz="4" w:space="0" w:color="auto"/>
            </w:tcBorders>
          </w:tcPr>
          <w:p w14:paraId="5D63536C" w14:textId="77777777" w:rsidR="00B66D7E" w:rsidRPr="00A93AE3" w:rsidRDefault="00B66D7E" w:rsidP="00AB7C16"/>
        </w:tc>
        <w:tc>
          <w:tcPr>
            <w:tcW w:w="236" w:type="dxa"/>
          </w:tcPr>
          <w:p w14:paraId="46844E92" w14:textId="77777777" w:rsidR="00B66D7E" w:rsidRPr="00A93AE3" w:rsidRDefault="00B66D7E" w:rsidP="00AB7C16"/>
        </w:tc>
        <w:tc>
          <w:tcPr>
            <w:tcW w:w="4084" w:type="dxa"/>
            <w:tcBorders>
              <w:bottom w:val="single" w:sz="4" w:space="0" w:color="auto"/>
            </w:tcBorders>
          </w:tcPr>
          <w:p w14:paraId="5CC705F0" w14:textId="77777777" w:rsidR="00B66D7E" w:rsidRPr="00A93AE3" w:rsidRDefault="00B66D7E" w:rsidP="00AB7C16"/>
        </w:tc>
      </w:tr>
      <w:tr w:rsidR="00B66D7E" w:rsidRPr="00A93AE3" w14:paraId="41A7A8F7" w14:textId="77777777" w:rsidTr="00E439AE">
        <w:trPr>
          <w:cantSplit/>
          <w:trHeight w:val="77"/>
        </w:trPr>
        <w:tc>
          <w:tcPr>
            <w:tcW w:w="4248" w:type="dxa"/>
            <w:tcBorders>
              <w:top w:val="single" w:sz="4" w:space="0" w:color="auto"/>
            </w:tcBorders>
          </w:tcPr>
          <w:p w14:paraId="3E4D867F" w14:textId="30D87E4C" w:rsidR="00B66D7E" w:rsidRPr="00A93AE3" w:rsidRDefault="00B66D7E" w:rsidP="00321395">
            <w:pPr>
              <w:jc w:val="center"/>
            </w:pPr>
            <w:r w:rsidRPr="00A93AE3">
              <w:t xml:space="preserve">f.h. </w:t>
            </w:r>
            <w:r w:rsidR="009E1253">
              <w:t>sveitarfélags/stofnunar</w:t>
            </w:r>
          </w:p>
        </w:tc>
        <w:tc>
          <w:tcPr>
            <w:tcW w:w="236" w:type="dxa"/>
          </w:tcPr>
          <w:p w14:paraId="3F2D9A64" w14:textId="77777777" w:rsidR="00B66D7E" w:rsidRPr="00A93AE3" w:rsidRDefault="00B66D7E" w:rsidP="00321395">
            <w:pPr>
              <w:jc w:val="center"/>
            </w:pPr>
          </w:p>
        </w:tc>
        <w:tc>
          <w:tcPr>
            <w:tcW w:w="4084" w:type="dxa"/>
            <w:tcBorders>
              <w:top w:val="single" w:sz="4" w:space="0" w:color="auto"/>
            </w:tcBorders>
          </w:tcPr>
          <w:p w14:paraId="5388C984" w14:textId="70F0FBFA" w:rsidR="00B66D7E" w:rsidRPr="00A93AE3" w:rsidRDefault="00B66D7E" w:rsidP="00321395">
            <w:pPr>
              <w:jc w:val="center"/>
            </w:pPr>
            <w:r w:rsidRPr="00A93AE3">
              <w:t xml:space="preserve">f.h. </w:t>
            </w:r>
            <w:r w:rsidR="00793E40">
              <w:t>[</w:t>
            </w:r>
            <w:r w:rsidR="009E1253">
              <w:t>verksala</w:t>
            </w:r>
            <w:r w:rsidR="00793E40">
              <w:t>]</w:t>
            </w:r>
          </w:p>
        </w:tc>
      </w:tr>
      <w:tr w:rsidR="00CD097E" w:rsidRPr="00A93AE3" w14:paraId="3318D2A7" w14:textId="77777777" w:rsidTr="001E5076">
        <w:trPr>
          <w:cantSplit/>
          <w:trHeight w:val="989"/>
        </w:trPr>
        <w:tc>
          <w:tcPr>
            <w:tcW w:w="4248" w:type="dxa"/>
            <w:tcBorders>
              <w:bottom w:val="single" w:sz="4" w:space="0" w:color="auto"/>
            </w:tcBorders>
          </w:tcPr>
          <w:p w14:paraId="7BEA961C" w14:textId="77777777" w:rsidR="009E1253" w:rsidRDefault="009E1253" w:rsidP="001E5076"/>
          <w:p w14:paraId="636C47EE" w14:textId="77777777" w:rsidR="009E1253" w:rsidRDefault="009E1253" w:rsidP="001E5076"/>
          <w:p w14:paraId="28E89733" w14:textId="718DAE80" w:rsidR="00CD097E" w:rsidRDefault="00CD097E" w:rsidP="009E1253">
            <w:pPr>
              <w:jc w:val="left"/>
            </w:pPr>
            <w:r>
              <w:t>Vottar að réttri undirritun og dagsetningu:</w:t>
            </w:r>
          </w:p>
          <w:p w14:paraId="7A68C7AE" w14:textId="77777777" w:rsidR="00CD097E" w:rsidRDefault="00CD097E" w:rsidP="001E5076"/>
          <w:p w14:paraId="4B1F3D84" w14:textId="7DFD5312" w:rsidR="00CD097E" w:rsidRPr="00A93AE3" w:rsidRDefault="00CD097E" w:rsidP="001E5076"/>
        </w:tc>
        <w:tc>
          <w:tcPr>
            <w:tcW w:w="236" w:type="dxa"/>
          </w:tcPr>
          <w:p w14:paraId="0887C879" w14:textId="77777777" w:rsidR="00CD097E" w:rsidRPr="00A93AE3" w:rsidRDefault="00CD097E" w:rsidP="001E5076"/>
        </w:tc>
        <w:tc>
          <w:tcPr>
            <w:tcW w:w="4084" w:type="dxa"/>
            <w:tcBorders>
              <w:bottom w:val="single" w:sz="4" w:space="0" w:color="auto"/>
            </w:tcBorders>
          </w:tcPr>
          <w:p w14:paraId="5C22836D" w14:textId="77777777" w:rsidR="00CD097E" w:rsidRPr="00A93AE3" w:rsidRDefault="00CD097E" w:rsidP="001E5076"/>
        </w:tc>
      </w:tr>
      <w:tr w:rsidR="00CD097E" w:rsidRPr="00A93AE3" w14:paraId="0DCE8149" w14:textId="77777777" w:rsidTr="001E5076">
        <w:trPr>
          <w:cantSplit/>
          <w:trHeight w:val="77"/>
        </w:trPr>
        <w:tc>
          <w:tcPr>
            <w:tcW w:w="4248" w:type="dxa"/>
            <w:tcBorders>
              <w:top w:val="single" w:sz="4" w:space="0" w:color="auto"/>
            </w:tcBorders>
          </w:tcPr>
          <w:p w14:paraId="5A561347" w14:textId="122F5751" w:rsidR="00CD097E" w:rsidRPr="00A93AE3" w:rsidRDefault="00CD097E" w:rsidP="001E5076"/>
        </w:tc>
        <w:tc>
          <w:tcPr>
            <w:tcW w:w="236" w:type="dxa"/>
          </w:tcPr>
          <w:p w14:paraId="332E76FE" w14:textId="77777777" w:rsidR="00CD097E" w:rsidRPr="00A93AE3" w:rsidRDefault="00CD097E" w:rsidP="001E5076"/>
        </w:tc>
        <w:tc>
          <w:tcPr>
            <w:tcW w:w="4084" w:type="dxa"/>
            <w:tcBorders>
              <w:top w:val="single" w:sz="4" w:space="0" w:color="auto"/>
            </w:tcBorders>
          </w:tcPr>
          <w:p w14:paraId="1897ACD7" w14:textId="0BAF4A41" w:rsidR="00CD097E" w:rsidRPr="00A93AE3" w:rsidRDefault="00CD097E" w:rsidP="001E5076"/>
        </w:tc>
      </w:tr>
    </w:tbl>
    <w:p w14:paraId="5809E7AB" w14:textId="1B5587F9" w:rsidR="00B66D7E" w:rsidRDefault="00B66D7E" w:rsidP="00B66D7E">
      <w:pPr>
        <w:pStyle w:val="Heading6"/>
      </w:pPr>
    </w:p>
    <w:p w14:paraId="75B82B71" w14:textId="599F75D0" w:rsidR="00B66D7E" w:rsidRDefault="00367AA4" w:rsidP="009E3A1B">
      <w:pPr>
        <w:pStyle w:val="Heading6"/>
        <w:pageBreakBefore/>
      </w:pPr>
      <w:r>
        <w:lastRenderedPageBreak/>
        <w:t xml:space="preserve">Viðauki </w:t>
      </w:r>
      <w:r w:rsidR="00984574">
        <w:t>1</w:t>
      </w:r>
      <w:r w:rsidR="00B66D7E" w:rsidRPr="002F5472">
        <w:tab/>
      </w:r>
      <w:r w:rsidR="00AD3963">
        <w:t xml:space="preserve">Þjónusta verktaka </w:t>
      </w:r>
    </w:p>
    <w:p w14:paraId="609E0739" w14:textId="02F53114" w:rsidR="00B66D7E" w:rsidRDefault="00E439AE" w:rsidP="005419E4">
      <w:r>
        <w:t>Viðauki þessi er hluti af þjónustusamn</w:t>
      </w:r>
      <w:r w:rsidR="00AD3963">
        <w:t xml:space="preserve">ingi </w:t>
      </w:r>
      <w:r w:rsidR="0069408D">
        <w:t>Sveitarfélags/stofnunar</w:t>
      </w:r>
      <w:r w:rsidR="00AD3963">
        <w:t xml:space="preserve"> og verktaka og er vísað til hans sem „samningsins“</w:t>
      </w:r>
      <w:r w:rsidR="00F51B2D">
        <w:t xml:space="preserve"> í viðauka þessum</w:t>
      </w:r>
      <w:r w:rsidR="00AD3963">
        <w:t xml:space="preserve">. </w:t>
      </w:r>
    </w:p>
    <w:p w14:paraId="45940A7B" w14:textId="77777777" w:rsidR="00DF154D" w:rsidRPr="005419E4" w:rsidRDefault="00DF154D" w:rsidP="005419E4">
      <w:pPr>
        <w:rPr>
          <w:b/>
        </w:rPr>
      </w:pPr>
      <w:r w:rsidRPr="005419E4">
        <w:rPr>
          <w:b/>
        </w:rPr>
        <w:t>1.</w:t>
      </w:r>
      <w:r w:rsidRPr="005419E4">
        <w:rPr>
          <w:b/>
        </w:rPr>
        <w:tab/>
      </w:r>
      <w:r w:rsidR="00AD3963" w:rsidRPr="005419E4">
        <w:rPr>
          <w:b/>
        </w:rPr>
        <w:t>Lýsing á þjónustu</w:t>
      </w:r>
    </w:p>
    <w:p w14:paraId="4DC2265C" w14:textId="2228DC76" w:rsidR="001825E5" w:rsidRDefault="001825E5" w:rsidP="005419E4">
      <w:pPr>
        <w:ind w:left="705" w:hanging="705"/>
      </w:pPr>
      <w:r>
        <w:t>1.1</w:t>
      </w:r>
      <w:r>
        <w:tab/>
        <w:t xml:space="preserve">[Tæknileg aðstoð / </w:t>
      </w:r>
      <w:r w:rsidR="003B21AD">
        <w:t xml:space="preserve">hugbúnaðarleyfi / þróun hugbúnaðar / </w:t>
      </w:r>
      <w:proofErr w:type="spellStart"/>
      <w:r>
        <w:t>hýsing</w:t>
      </w:r>
      <w:proofErr w:type="spellEnd"/>
      <w:r>
        <w:t xml:space="preserve"> o.s.frv. Lýsa eins nákvæmlega og hægt er. Lýsa því hvað felst í þjónustu og hvað fellur fyrir utan, eftir því sem við á.].</w:t>
      </w:r>
    </w:p>
    <w:p w14:paraId="3C80DCAA" w14:textId="0D4988F3" w:rsidR="001825E5" w:rsidRDefault="001825E5" w:rsidP="00FB6E5B">
      <w:pPr>
        <w:ind w:left="705" w:hanging="705"/>
      </w:pPr>
      <w:r>
        <w:t>1.3</w:t>
      </w:r>
      <w:r>
        <w:tab/>
        <w:t xml:space="preserve">[Geri </w:t>
      </w:r>
      <w:r w:rsidR="0069408D">
        <w:t>Sveitarfélag/stofnun</w:t>
      </w:r>
      <w:r>
        <w:t xml:space="preserve"> sérstakar kröfur til þjónustunnar, s.s. hvaða starfsmenn verktaka mega sinna henni, lýsa hér]. </w:t>
      </w:r>
    </w:p>
    <w:p w14:paraId="51F8ED01" w14:textId="77F15D95" w:rsidR="00530BAF" w:rsidRDefault="00530BAF" w:rsidP="00FB6E5B">
      <w:pPr>
        <w:ind w:left="705" w:hanging="705"/>
      </w:pPr>
      <w:r>
        <w:t>1.4</w:t>
      </w:r>
      <w:r>
        <w:tab/>
        <w:t xml:space="preserve">[Ef um hugbúnaðarleyfi er að ræða tilgreina sérstaklega að verktaki hafi heimild til að leyfa </w:t>
      </w:r>
      <w:r w:rsidR="0069408D">
        <w:t>Sveitarfélagi/stofnun</w:t>
      </w:r>
      <w:r>
        <w:t xml:space="preserve"> afnot af viðkomandi hugbúnaði]. </w:t>
      </w:r>
    </w:p>
    <w:p w14:paraId="02854997" w14:textId="6E0CF082" w:rsidR="001825E5" w:rsidRPr="005419E4" w:rsidRDefault="00CA5F46" w:rsidP="005419E4">
      <w:pPr>
        <w:pStyle w:val="TitleClause"/>
        <w:spacing w:after="120" w:line="240" w:lineRule="auto"/>
        <w:rPr>
          <w:rFonts w:ascii="Verdana" w:hAnsi="Verdana"/>
          <w:sz w:val="20"/>
        </w:rPr>
      </w:pPr>
      <w:r w:rsidRPr="005419E4">
        <w:rPr>
          <w:rFonts w:ascii="Verdana" w:hAnsi="Verdana"/>
          <w:sz w:val="20"/>
        </w:rPr>
        <w:t>[</w:t>
      </w:r>
      <w:r w:rsidR="00506585" w:rsidRPr="005419E4">
        <w:rPr>
          <w:rFonts w:ascii="Verdana" w:hAnsi="Verdana"/>
          <w:sz w:val="20"/>
        </w:rPr>
        <w:t>Verkefnaáætlun</w:t>
      </w:r>
      <w:r w:rsidRPr="005419E4">
        <w:rPr>
          <w:rFonts w:ascii="Verdana" w:hAnsi="Verdana"/>
          <w:sz w:val="20"/>
        </w:rPr>
        <w:t xml:space="preserve"> / Notkunartími]</w:t>
      </w:r>
    </w:p>
    <w:p w14:paraId="6377DC24" w14:textId="48A4E4D6" w:rsidR="00CA5F46" w:rsidRPr="005419E4" w:rsidRDefault="001825E5" w:rsidP="005419E4">
      <w:pPr>
        <w:pStyle w:val="Untitledsubclause1"/>
        <w:spacing w:before="240" w:line="240" w:lineRule="auto"/>
        <w:rPr>
          <w:rFonts w:ascii="Verdana" w:eastAsia="Times New Roman" w:hAnsi="Verdana"/>
          <w:color w:val="auto"/>
          <w:sz w:val="20"/>
        </w:rPr>
      </w:pPr>
      <w:r w:rsidRPr="005419E4">
        <w:rPr>
          <w:rFonts w:ascii="Verdana" w:eastAsia="Times New Roman" w:hAnsi="Verdana"/>
          <w:color w:val="auto"/>
          <w:sz w:val="20"/>
        </w:rPr>
        <w:t xml:space="preserve">[Á við t.a.m. við hugbúnaðarþróun. Lýsa </w:t>
      </w:r>
      <w:r w:rsidR="00E344F7" w:rsidRPr="005419E4">
        <w:rPr>
          <w:rFonts w:ascii="Verdana" w:eastAsia="Times New Roman" w:hAnsi="Verdana"/>
          <w:color w:val="auto"/>
          <w:sz w:val="20"/>
        </w:rPr>
        <w:t xml:space="preserve">áföngum </w:t>
      </w:r>
      <w:r w:rsidRPr="005419E4">
        <w:rPr>
          <w:rFonts w:ascii="Verdana" w:eastAsia="Times New Roman" w:hAnsi="Verdana"/>
          <w:color w:val="auto"/>
          <w:sz w:val="20"/>
        </w:rPr>
        <w:t xml:space="preserve">(e. </w:t>
      </w:r>
      <w:proofErr w:type="spellStart"/>
      <w:r w:rsidRPr="005419E4">
        <w:rPr>
          <w:rFonts w:ascii="Verdana" w:eastAsia="Times New Roman" w:hAnsi="Verdana"/>
          <w:color w:val="auto"/>
          <w:sz w:val="20"/>
        </w:rPr>
        <w:t>milestones</w:t>
      </w:r>
      <w:proofErr w:type="spellEnd"/>
      <w:r w:rsidRPr="005419E4">
        <w:rPr>
          <w:rFonts w:ascii="Verdana" w:eastAsia="Times New Roman" w:hAnsi="Verdana"/>
          <w:color w:val="auto"/>
          <w:sz w:val="20"/>
        </w:rPr>
        <w:t xml:space="preserve">) í verkefninu, ef </w:t>
      </w:r>
      <w:r w:rsidR="00E344F7" w:rsidRPr="005419E4">
        <w:rPr>
          <w:rFonts w:ascii="Verdana" w:eastAsia="Times New Roman" w:hAnsi="Verdana"/>
          <w:color w:val="auto"/>
          <w:sz w:val="20"/>
        </w:rPr>
        <w:t xml:space="preserve">samþykkisprófun á að fara fram (e. </w:t>
      </w:r>
      <w:proofErr w:type="spellStart"/>
      <w:r w:rsidR="00E344F7" w:rsidRPr="005419E4">
        <w:rPr>
          <w:rFonts w:ascii="Verdana" w:eastAsia="Times New Roman" w:hAnsi="Verdana"/>
          <w:color w:val="auto"/>
          <w:sz w:val="20"/>
        </w:rPr>
        <w:t>acceptance</w:t>
      </w:r>
      <w:proofErr w:type="spellEnd"/>
      <w:r w:rsidR="00E344F7" w:rsidRPr="005419E4">
        <w:rPr>
          <w:rFonts w:ascii="Verdana" w:eastAsia="Times New Roman" w:hAnsi="Verdana"/>
          <w:color w:val="auto"/>
          <w:sz w:val="20"/>
        </w:rPr>
        <w:t xml:space="preserve"> </w:t>
      </w:r>
      <w:proofErr w:type="spellStart"/>
      <w:r w:rsidR="00E344F7" w:rsidRPr="005419E4">
        <w:rPr>
          <w:rFonts w:ascii="Verdana" w:eastAsia="Times New Roman" w:hAnsi="Verdana"/>
          <w:color w:val="auto"/>
          <w:sz w:val="20"/>
        </w:rPr>
        <w:t>test</w:t>
      </w:r>
      <w:proofErr w:type="spellEnd"/>
      <w:r w:rsidR="00E344F7" w:rsidRPr="005419E4">
        <w:rPr>
          <w:rFonts w:ascii="Verdana" w:eastAsia="Times New Roman" w:hAnsi="Verdana"/>
          <w:color w:val="auto"/>
          <w:sz w:val="20"/>
        </w:rPr>
        <w:t>)</w:t>
      </w:r>
      <w:r w:rsidR="00CC4FD3" w:rsidRPr="005419E4">
        <w:rPr>
          <w:rFonts w:ascii="Verdana" w:eastAsia="Times New Roman" w:hAnsi="Verdana"/>
          <w:color w:val="auto"/>
          <w:sz w:val="20"/>
        </w:rPr>
        <w:t>, hvenær afhending telst hafa átt sér stað o.s.frv.</w:t>
      </w:r>
    </w:p>
    <w:p w14:paraId="6D8FD421" w14:textId="1AC4E8AE" w:rsidR="00CC4FD3" w:rsidRPr="005419E4" w:rsidRDefault="00CA5F46" w:rsidP="005419E4">
      <w:pPr>
        <w:pStyle w:val="Untitledsubclause1"/>
        <w:spacing w:before="240" w:line="240" w:lineRule="auto"/>
        <w:rPr>
          <w:rFonts w:ascii="Verdana" w:hAnsi="Verdana"/>
          <w:sz w:val="20"/>
        </w:rPr>
      </w:pPr>
      <w:r w:rsidRPr="005419E4">
        <w:rPr>
          <w:rFonts w:ascii="Verdana" w:hAnsi="Verdana"/>
          <w:sz w:val="20"/>
        </w:rPr>
        <w:t>Ef leyfi til að nýta hugbúnað/þekkingu, tilgreina notkunartími, svæði o.s.frv.</w:t>
      </w:r>
      <w:r w:rsidR="00CC4FD3" w:rsidRPr="005419E4">
        <w:rPr>
          <w:rFonts w:ascii="Verdana" w:hAnsi="Verdana"/>
          <w:sz w:val="20"/>
        </w:rPr>
        <w:t>].</w:t>
      </w:r>
    </w:p>
    <w:p w14:paraId="7823EAE5" w14:textId="26EBE83D" w:rsidR="00CA5F46" w:rsidRPr="005419E4" w:rsidRDefault="00CA5F46" w:rsidP="005419E4">
      <w:pPr>
        <w:pStyle w:val="TitleClause"/>
        <w:spacing w:line="240" w:lineRule="auto"/>
        <w:rPr>
          <w:rFonts w:ascii="Verdana" w:hAnsi="Verdana"/>
          <w:sz w:val="20"/>
        </w:rPr>
      </w:pPr>
      <w:r w:rsidRPr="005419E4">
        <w:rPr>
          <w:rFonts w:ascii="Verdana" w:hAnsi="Verdana"/>
          <w:sz w:val="20"/>
        </w:rPr>
        <w:t xml:space="preserve">Skyldur </w:t>
      </w:r>
      <w:r w:rsidR="0069408D">
        <w:rPr>
          <w:rFonts w:ascii="Verdana" w:hAnsi="Verdana"/>
          <w:sz w:val="20"/>
        </w:rPr>
        <w:t>Sveitarfélags/stofnunar</w:t>
      </w:r>
    </w:p>
    <w:p w14:paraId="344D17BB" w14:textId="02382690" w:rsidR="00CA5F46" w:rsidRDefault="00CA5F46" w:rsidP="005419E4">
      <w:pPr>
        <w:ind w:left="705"/>
      </w:pPr>
      <w:r w:rsidRPr="00A90B61">
        <w:t xml:space="preserve">[Ef </w:t>
      </w:r>
      <w:r w:rsidR="0069408D">
        <w:t>Sveitarfélag/stofnun</w:t>
      </w:r>
      <w:r w:rsidRPr="00A90B61">
        <w:t xml:space="preserve"> þarf að veita aðgang að starfsstöð, starfsfólki o.s.frv. tilgreina hér.]</w:t>
      </w:r>
    </w:p>
    <w:p w14:paraId="65296A79" w14:textId="03832CEA" w:rsidR="007262D2" w:rsidRDefault="007262D2" w:rsidP="005419E4">
      <w:pPr>
        <w:pStyle w:val="TitleClause"/>
        <w:spacing w:line="240" w:lineRule="auto"/>
        <w:rPr>
          <w:rFonts w:ascii="Verdana" w:hAnsi="Verdana"/>
          <w:sz w:val="20"/>
        </w:rPr>
      </w:pPr>
      <w:r w:rsidRPr="005419E4">
        <w:rPr>
          <w:rFonts w:ascii="Verdana" w:hAnsi="Verdana"/>
          <w:sz w:val="20"/>
        </w:rPr>
        <w:t>Tengiliðir</w:t>
      </w:r>
    </w:p>
    <w:p w14:paraId="2EA14C12" w14:textId="4E6F7B1D" w:rsidR="001825E5" w:rsidRPr="005419E4" w:rsidRDefault="001825E5" w:rsidP="005419E4">
      <w:pPr>
        <w:pStyle w:val="Untitledsubclause1"/>
        <w:spacing w:line="240" w:lineRule="auto"/>
        <w:rPr>
          <w:rFonts w:ascii="Verdana" w:hAnsi="Verdana"/>
          <w:sz w:val="20"/>
        </w:rPr>
      </w:pPr>
      <w:r w:rsidRPr="005419E4">
        <w:rPr>
          <w:rFonts w:ascii="Verdana" w:hAnsi="Verdana"/>
          <w:sz w:val="20"/>
        </w:rPr>
        <w:t xml:space="preserve">Tengiliður </w:t>
      </w:r>
      <w:r w:rsidR="0069408D">
        <w:rPr>
          <w:rFonts w:ascii="Verdana" w:hAnsi="Verdana"/>
          <w:sz w:val="20"/>
        </w:rPr>
        <w:t>Sveitarfélags/stofnunar</w:t>
      </w:r>
      <w:r w:rsidRPr="005419E4">
        <w:rPr>
          <w:rFonts w:ascii="Verdana" w:hAnsi="Verdana"/>
          <w:sz w:val="20"/>
        </w:rPr>
        <w:t xml:space="preserve"> skal vera [nafn, netfang, símanúmer].</w:t>
      </w:r>
    </w:p>
    <w:p w14:paraId="5F0A5A30" w14:textId="1A2E52E6" w:rsidR="001825E5" w:rsidRDefault="001825E5" w:rsidP="005419E4">
      <w:pPr>
        <w:pStyle w:val="Untitledsubclause1"/>
        <w:spacing w:line="240" w:lineRule="auto"/>
        <w:rPr>
          <w:rFonts w:ascii="Verdana" w:hAnsi="Verdana"/>
          <w:sz w:val="20"/>
        </w:rPr>
      </w:pPr>
      <w:r>
        <w:rPr>
          <w:rFonts w:ascii="Verdana" w:hAnsi="Verdana"/>
          <w:sz w:val="20"/>
        </w:rPr>
        <w:t>Tengiliður verktaka skal vera [nafn, netfang, símanúmer].</w:t>
      </w:r>
    </w:p>
    <w:p w14:paraId="7E2F0835" w14:textId="60E4A9B7" w:rsidR="001825E5" w:rsidRDefault="001825E5" w:rsidP="005419E4">
      <w:pPr>
        <w:pStyle w:val="TitleClause"/>
        <w:spacing w:line="240" w:lineRule="auto"/>
        <w:rPr>
          <w:rFonts w:ascii="Verdana" w:hAnsi="Verdana"/>
          <w:sz w:val="20"/>
        </w:rPr>
      </w:pPr>
      <w:r>
        <w:rPr>
          <w:rFonts w:ascii="Verdana" w:hAnsi="Verdana"/>
          <w:sz w:val="20"/>
        </w:rPr>
        <w:lastRenderedPageBreak/>
        <w:t>Tilkynningar</w:t>
      </w:r>
    </w:p>
    <w:p w14:paraId="3F4FCDC9" w14:textId="00FC9BDC" w:rsidR="00CC4FD3" w:rsidRPr="005419E4" w:rsidRDefault="00FB6E5B" w:rsidP="005419E4">
      <w:pPr>
        <w:pStyle w:val="TitleClause"/>
        <w:numPr>
          <w:ilvl w:val="0"/>
          <w:numId w:val="0"/>
        </w:numPr>
        <w:spacing w:line="240" w:lineRule="auto"/>
        <w:ind w:left="720"/>
        <w:rPr>
          <w:rFonts w:ascii="Verdana" w:hAnsi="Verdana"/>
          <w:b w:val="0"/>
          <w:sz w:val="20"/>
        </w:rPr>
      </w:pPr>
      <w:r>
        <w:rPr>
          <w:rFonts w:ascii="Verdana" w:hAnsi="Verdana"/>
          <w:b w:val="0"/>
          <w:sz w:val="20"/>
        </w:rPr>
        <w:t>[Lýsa því með hvaða hætti skuli senda tilkynningar á grundvelli samningsin</w:t>
      </w:r>
      <w:r w:rsidR="00F51B2D">
        <w:rPr>
          <w:rFonts w:ascii="Verdana" w:hAnsi="Verdana"/>
          <w:b w:val="0"/>
          <w:sz w:val="20"/>
        </w:rPr>
        <w:t>s,</w:t>
      </w:r>
      <w:r>
        <w:rPr>
          <w:rFonts w:ascii="Verdana" w:hAnsi="Verdana"/>
          <w:b w:val="0"/>
          <w:sz w:val="20"/>
        </w:rPr>
        <w:t xml:space="preserve"> </w:t>
      </w:r>
      <w:r w:rsidR="00F51B2D">
        <w:rPr>
          <w:rFonts w:ascii="Verdana" w:hAnsi="Verdana"/>
          <w:b w:val="0"/>
          <w:sz w:val="20"/>
        </w:rPr>
        <w:t>s</w:t>
      </w:r>
      <w:r>
        <w:rPr>
          <w:rFonts w:ascii="Verdana" w:hAnsi="Verdana"/>
          <w:b w:val="0"/>
          <w:sz w:val="20"/>
        </w:rPr>
        <w:t>.s. í tölvupósti til tengiliða/ábyrgðarpósti].</w:t>
      </w:r>
    </w:p>
    <w:p w14:paraId="2436F106" w14:textId="1B2A6B0C" w:rsidR="001825E5" w:rsidRDefault="001825E5" w:rsidP="00FB6E5B">
      <w:pPr>
        <w:pStyle w:val="TitleClause"/>
        <w:spacing w:line="240" w:lineRule="auto"/>
        <w:rPr>
          <w:rFonts w:ascii="Verdana" w:hAnsi="Verdana"/>
          <w:sz w:val="20"/>
        </w:rPr>
      </w:pPr>
      <w:r>
        <w:rPr>
          <w:rFonts w:ascii="Verdana" w:hAnsi="Verdana"/>
          <w:sz w:val="20"/>
        </w:rPr>
        <w:t>Verkefnafundir</w:t>
      </w:r>
    </w:p>
    <w:p w14:paraId="4559626F" w14:textId="4274E48B" w:rsidR="00FB6E5B" w:rsidRPr="005419E4" w:rsidRDefault="00FB6E5B" w:rsidP="005419E4">
      <w:pPr>
        <w:pStyle w:val="TitleClause"/>
        <w:numPr>
          <w:ilvl w:val="0"/>
          <w:numId w:val="0"/>
        </w:numPr>
        <w:spacing w:line="240" w:lineRule="auto"/>
        <w:ind w:left="708"/>
        <w:rPr>
          <w:rFonts w:ascii="Verdana" w:hAnsi="Verdana"/>
          <w:b w:val="0"/>
          <w:sz w:val="20"/>
        </w:rPr>
      </w:pPr>
      <w:r>
        <w:rPr>
          <w:rFonts w:ascii="Verdana" w:hAnsi="Verdana"/>
          <w:b w:val="0"/>
          <w:sz w:val="20"/>
        </w:rPr>
        <w:t>[Ef halda á verkefnafundi á gildistíma samningsins, tilgreina það hér].</w:t>
      </w:r>
    </w:p>
    <w:p w14:paraId="2ABB0704" w14:textId="19707C7E" w:rsidR="001825E5" w:rsidRDefault="001825E5" w:rsidP="00FB6E5B">
      <w:pPr>
        <w:pStyle w:val="TitleClause"/>
        <w:spacing w:line="240" w:lineRule="auto"/>
        <w:rPr>
          <w:rFonts w:ascii="Verdana" w:hAnsi="Verdana"/>
          <w:sz w:val="20"/>
        </w:rPr>
      </w:pPr>
      <w:r>
        <w:rPr>
          <w:rFonts w:ascii="Verdana" w:hAnsi="Verdana"/>
          <w:sz w:val="20"/>
        </w:rPr>
        <w:t>Gildistími samnings</w:t>
      </w:r>
    </w:p>
    <w:p w14:paraId="0B64B901" w14:textId="00E68AC6" w:rsidR="00FB6E5B" w:rsidRPr="005419E4" w:rsidRDefault="00FB6E5B" w:rsidP="005419E4">
      <w:pPr>
        <w:pStyle w:val="TitleClause"/>
        <w:numPr>
          <w:ilvl w:val="0"/>
          <w:numId w:val="0"/>
        </w:numPr>
        <w:spacing w:line="240" w:lineRule="auto"/>
        <w:ind w:left="720"/>
        <w:rPr>
          <w:rFonts w:ascii="Verdana" w:hAnsi="Verdana"/>
          <w:b w:val="0"/>
          <w:sz w:val="20"/>
        </w:rPr>
      </w:pPr>
      <w:r>
        <w:rPr>
          <w:rFonts w:ascii="Verdana" w:hAnsi="Verdana"/>
          <w:b w:val="0"/>
          <w:sz w:val="20"/>
        </w:rPr>
        <w:t>[Tilgreina hvort samningurinn er ótímabundinn eða með tilgreindan gildistíma].</w:t>
      </w:r>
    </w:p>
    <w:p w14:paraId="7199BA66" w14:textId="27668E98" w:rsidR="001825E5" w:rsidRDefault="001825E5" w:rsidP="00FB6E5B">
      <w:pPr>
        <w:pStyle w:val="TitleClause"/>
        <w:spacing w:line="240" w:lineRule="auto"/>
        <w:rPr>
          <w:rFonts w:ascii="Verdana" w:hAnsi="Verdana"/>
          <w:sz w:val="20"/>
        </w:rPr>
      </w:pPr>
      <w:r>
        <w:rPr>
          <w:rFonts w:ascii="Verdana" w:hAnsi="Verdana"/>
          <w:sz w:val="20"/>
        </w:rPr>
        <w:t>Uppsögn samnings</w:t>
      </w:r>
      <w:r w:rsidR="00CA5F46">
        <w:rPr>
          <w:rFonts w:ascii="Verdana" w:hAnsi="Verdana"/>
          <w:sz w:val="20"/>
        </w:rPr>
        <w:t xml:space="preserve"> og afleiðingar samningsloka </w:t>
      </w:r>
    </w:p>
    <w:p w14:paraId="24792DB2" w14:textId="22DDA090" w:rsidR="00FB6E5B" w:rsidRDefault="00FB6E5B" w:rsidP="00FB6E5B">
      <w:pPr>
        <w:pStyle w:val="TitleClause"/>
        <w:numPr>
          <w:ilvl w:val="0"/>
          <w:numId w:val="0"/>
        </w:numPr>
        <w:spacing w:line="240" w:lineRule="auto"/>
        <w:ind w:left="720"/>
        <w:rPr>
          <w:rFonts w:ascii="Verdana" w:hAnsi="Verdana"/>
          <w:b w:val="0"/>
          <w:sz w:val="20"/>
        </w:rPr>
      </w:pPr>
      <w:r>
        <w:rPr>
          <w:rFonts w:ascii="Verdana" w:hAnsi="Verdana"/>
          <w:b w:val="0"/>
          <w:sz w:val="20"/>
        </w:rPr>
        <w:t>[Tilgreina undir hvaða kringumstæðum aðilar geta sagt upp samningnum og þá með hve löngum fyrirvara.</w:t>
      </w:r>
    </w:p>
    <w:p w14:paraId="2B6567B7" w14:textId="73135C31" w:rsidR="00FB6E5B" w:rsidRDefault="00FB6E5B" w:rsidP="00FB6E5B">
      <w:pPr>
        <w:pStyle w:val="TitleClause"/>
        <w:numPr>
          <w:ilvl w:val="0"/>
          <w:numId w:val="0"/>
        </w:numPr>
        <w:spacing w:line="240" w:lineRule="auto"/>
        <w:ind w:left="720"/>
        <w:rPr>
          <w:rFonts w:ascii="Verdana" w:hAnsi="Verdana"/>
          <w:b w:val="0"/>
          <w:sz w:val="20"/>
        </w:rPr>
      </w:pPr>
      <w:r>
        <w:rPr>
          <w:rFonts w:ascii="Verdana" w:hAnsi="Verdana"/>
          <w:b w:val="0"/>
          <w:sz w:val="20"/>
        </w:rPr>
        <w:t>[Tilgreina einnig afleiðingar samningsloka, s.s.</w:t>
      </w:r>
    </w:p>
    <w:p w14:paraId="62D90337" w14:textId="014C89DA" w:rsidR="00FB6E5B" w:rsidRDefault="00FB6E5B" w:rsidP="00FB6E5B">
      <w:pPr>
        <w:pStyle w:val="Heading2"/>
        <w:numPr>
          <w:ilvl w:val="0"/>
          <w:numId w:val="0"/>
        </w:numPr>
        <w:ind w:left="708"/>
      </w:pPr>
      <w:r>
        <w:t xml:space="preserve">„Við samningslok skal verktaki án tafar afhenda </w:t>
      </w:r>
      <w:r w:rsidR="0069408D">
        <w:t>Sveitarfélagi/stofnun</w:t>
      </w:r>
      <w:r>
        <w:t xml:space="preserve"> afrit af öllum upplýsingum og gögnum sem </w:t>
      </w:r>
      <w:r w:rsidR="0069408D">
        <w:t>Sveitarfélag/stofnun</w:t>
      </w:r>
      <w:r>
        <w:t xml:space="preserve"> hefur afhent verktaka í tengslum við samning þennan.„</w:t>
      </w:r>
    </w:p>
    <w:p w14:paraId="1B38F4C8" w14:textId="705117FB" w:rsidR="00FB6E5B" w:rsidRPr="005419E4" w:rsidRDefault="00FB6E5B" w:rsidP="005419E4">
      <w:r>
        <w:tab/>
        <w:t xml:space="preserve">Ef </w:t>
      </w:r>
      <w:r w:rsidR="0069408D">
        <w:t>Sveitarfélag/stofnun</w:t>
      </w:r>
      <w:r>
        <w:t xml:space="preserve"> skal fá afhentan frumkóða skal einnig kveðið á um það hér.]</w:t>
      </w:r>
    </w:p>
    <w:p w14:paraId="106595BF" w14:textId="332ABE00" w:rsidR="00F35790" w:rsidRDefault="00B94509" w:rsidP="005419E4">
      <w:pPr>
        <w:spacing w:before="0" w:after="200"/>
        <w:jc w:val="center"/>
        <w:rPr>
          <w:b/>
        </w:rPr>
      </w:pPr>
      <w:r w:rsidRPr="005419E4">
        <w:rPr>
          <w:b/>
        </w:rPr>
        <w:t xml:space="preserve">Viðauki </w:t>
      </w:r>
      <w:r w:rsidR="00984574">
        <w:rPr>
          <w:b/>
        </w:rPr>
        <w:t>2</w:t>
      </w:r>
      <w:r w:rsidRPr="002F5472">
        <w:tab/>
      </w:r>
      <w:r w:rsidR="00F35790" w:rsidRPr="00F35790">
        <w:rPr>
          <w:b/>
        </w:rPr>
        <w:t>Gjald</w:t>
      </w:r>
      <w:r w:rsidR="003B21AD">
        <w:rPr>
          <w:b/>
        </w:rPr>
        <w:t xml:space="preserve"> fyrir þjónustu</w:t>
      </w:r>
    </w:p>
    <w:p w14:paraId="3D01E6F7" w14:textId="77777777" w:rsidR="00CD097E" w:rsidRDefault="00CD097E" w:rsidP="005419E4">
      <w:pPr>
        <w:pStyle w:val="ListParagraph"/>
        <w:widowControl w:val="0"/>
        <w:spacing w:before="0" w:after="200"/>
        <w:ind w:left="567"/>
        <w:outlineLvl w:val="1"/>
        <w:rPr>
          <w:rFonts w:eastAsiaTheme="minorHAnsi" w:cstheme="minorBidi"/>
          <w:iCs/>
          <w:lang w:eastAsia="is-IS"/>
        </w:rPr>
      </w:pPr>
    </w:p>
    <w:p w14:paraId="2D670C79" w14:textId="2FC7F797" w:rsidR="003B21AD" w:rsidRPr="005419E4" w:rsidRDefault="003B21AD" w:rsidP="005419E4">
      <w:pPr>
        <w:pStyle w:val="ListParagraph"/>
        <w:widowControl w:val="0"/>
        <w:numPr>
          <w:ilvl w:val="6"/>
          <w:numId w:val="4"/>
        </w:numPr>
        <w:tabs>
          <w:tab w:val="num" w:pos="851"/>
        </w:tabs>
        <w:spacing w:before="0" w:after="200"/>
        <w:ind w:left="567" w:hanging="567"/>
        <w:outlineLvl w:val="1"/>
        <w:rPr>
          <w:rFonts w:eastAsiaTheme="minorHAnsi" w:cstheme="minorBidi"/>
          <w:iCs/>
          <w:lang w:eastAsia="is-IS"/>
        </w:rPr>
      </w:pPr>
      <w:r w:rsidRPr="005419E4">
        <w:rPr>
          <w:rFonts w:eastAsiaTheme="minorHAnsi" w:cstheme="minorBidi"/>
          <w:iCs/>
          <w:lang w:eastAsia="is-IS"/>
        </w:rPr>
        <w:t xml:space="preserve">Fyrir [þjónustu þá sem verktaki veitir </w:t>
      </w:r>
      <w:r w:rsidR="0069408D">
        <w:rPr>
          <w:rFonts w:eastAsiaTheme="minorHAnsi" w:cstheme="minorBidi"/>
          <w:iCs/>
          <w:lang w:eastAsia="is-IS"/>
        </w:rPr>
        <w:t>Sveitarfélagi/stofnun</w:t>
      </w:r>
      <w:r w:rsidRPr="005419E4">
        <w:rPr>
          <w:rFonts w:eastAsiaTheme="minorHAnsi" w:cstheme="minorBidi"/>
          <w:iCs/>
          <w:lang w:eastAsia="is-IS"/>
        </w:rPr>
        <w:t xml:space="preserve">] samkvæmt samningi þessum greiðir </w:t>
      </w:r>
      <w:r w:rsidR="0069408D">
        <w:rPr>
          <w:rFonts w:eastAsiaTheme="minorHAnsi" w:cstheme="minorBidi"/>
          <w:iCs/>
          <w:lang w:eastAsia="is-IS"/>
        </w:rPr>
        <w:t>Sveitarfélag/stofnun</w:t>
      </w:r>
      <w:r w:rsidRPr="005419E4">
        <w:rPr>
          <w:rFonts w:eastAsiaTheme="minorHAnsi" w:cstheme="minorBidi"/>
          <w:iCs/>
          <w:lang w:eastAsia="is-IS"/>
        </w:rPr>
        <w:t xml:space="preserve"> verktaka eins og hér segir:</w:t>
      </w:r>
    </w:p>
    <w:p w14:paraId="39EF1BC0" w14:textId="52ED1F85" w:rsidR="003B21AD" w:rsidRPr="003B21AD" w:rsidRDefault="003B21AD" w:rsidP="005419E4">
      <w:pPr>
        <w:widowControl w:val="0"/>
        <w:tabs>
          <w:tab w:val="num" w:pos="851"/>
        </w:tabs>
        <w:spacing w:before="0" w:after="200"/>
        <w:ind w:left="567"/>
        <w:outlineLvl w:val="1"/>
        <w:rPr>
          <w:rFonts w:eastAsiaTheme="minorHAnsi" w:cstheme="minorBidi"/>
          <w:iCs/>
          <w:lang w:eastAsia="is-IS"/>
        </w:rPr>
      </w:pPr>
      <w:r>
        <w:rPr>
          <w:rFonts w:eastAsiaTheme="minorHAnsi" w:cstheme="minorBidi"/>
          <w:iCs/>
          <w:lang w:eastAsia="is-IS"/>
        </w:rPr>
        <w:t>[Tilgreina hvernig gjöld eru reiknuð, tilgreind þóknun / greitt samkvæmt gjaldskrá. Ef gjaldskrá, tilgreina hvort greitt er sérstaklega fyrir vinnu utan hefðbundins vinnutíma. Tilgreina hvað er innifalið í verði og hvað ekki.]</w:t>
      </w:r>
    </w:p>
    <w:p w14:paraId="447E0BF9" w14:textId="77777777" w:rsidR="003B21AD" w:rsidRDefault="003B21AD" w:rsidP="00FB6E5B">
      <w:pPr>
        <w:pStyle w:val="ListParagraph"/>
        <w:widowControl w:val="0"/>
        <w:numPr>
          <w:ilvl w:val="6"/>
          <w:numId w:val="4"/>
        </w:numPr>
        <w:spacing w:before="0" w:after="200"/>
        <w:ind w:left="567" w:hanging="567"/>
        <w:outlineLvl w:val="1"/>
        <w:rPr>
          <w:rFonts w:eastAsiaTheme="minorHAnsi" w:cstheme="minorBidi"/>
          <w:iCs/>
          <w:lang w:eastAsia="is-IS"/>
        </w:rPr>
      </w:pPr>
      <w:r>
        <w:rPr>
          <w:rFonts w:eastAsiaTheme="minorHAnsi" w:cstheme="minorBidi"/>
          <w:iCs/>
          <w:lang w:eastAsia="is-IS"/>
        </w:rPr>
        <w:t>[Ef greitt skv. gjaldskrá, tilgreina hvort verktaka sé heimilt að hækka gjaldskrá].</w:t>
      </w:r>
    </w:p>
    <w:p w14:paraId="24B96723" w14:textId="7E455295" w:rsidR="003B21AD" w:rsidRDefault="003B21AD" w:rsidP="005419E4">
      <w:pPr>
        <w:pStyle w:val="ListParagraph"/>
        <w:widowControl w:val="0"/>
        <w:spacing w:before="0" w:after="200"/>
        <w:ind w:left="567"/>
        <w:outlineLvl w:val="1"/>
        <w:rPr>
          <w:rFonts w:eastAsiaTheme="minorHAnsi" w:cstheme="minorBidi"/>
          <w:iCs/>
          <w:lang w:eastAsia="is-IS"/>
        </w:rPr>
      </w:pPr>
      <w:r>
        <w:rPr>
          <w:rFonts w:eastAsiaTheme="minorHAnsi" w:cstheme="minorBidi"/>
          <w:iCs/>
          <w:lang w:eastAsia="is-IS"/>
        </w:rPr>
        <w:t xml:space="preserve"> </w:t>
      </w:r>
    </w:p>
    <w:p w14:paraId="24C98085" w14:textId="603096DA" w:rsidR="003B21AD" w:rsidRDefault="003B21AD" w:rsidP="00FB6E5B">
      <w:pPr>
        <w:pStyle w:val="ListParagraph"/>
        <w:widowControl w:val="0"/>
        <w:numPr>
          <w:ilvl w:val="6"/>
          <w:numId w:val="4"/>
        </w:numPr>
        <w:spacing w:before="0" w:after="200"/>
        <w:ind w:left="567" w:hanging="567"/>
        <w:outlineLvl w:val="1"/>
        <w:rPr>
          <w:rFonts w:eastAsiaTheme="minorHAnsi" w:cstheme="minorBidi"/>
          <w:iCs/>
          <w:lang w:eastAsia="is-IS"/>
        </w:rPr>
      </w:pPr>
      <w:r>
        <w:rPr>
          <w:rFonts w:eastAsiaTheme="minorHAnsi" w:cstheme="minorBidi"/>
          <w:iCs/>
          <w:lang w:eastAsia="is-IS"/>
        </w:rPr>
        <w:t xml:space="preserve">Útgefna reikning skal verktaki senda [tilgreina hvert skuli senda reikninga]. </w:t>
      </w:r>
    </w:p>
    <w:p w14:paraId="5E4995ED" w14:textId="77777777" w:rsidR="003B21AD" w:rsidRDefault="003B21AD" w:rsidP="005419E4">
      <w:pPr>
        <w:pStyle w:val="ListParagraph"/>
        <w:widowControl w:val="0"/>
        <w:spacing w:before="0" w:after="200"/>
        <w:ind w:left="567"/>
        <w:outlineLvl w:val="1"/>
        <w:rPr>
          <w:rFonts w:eastAsiaTheme="minorHAnsi" w:cstheme="minorBidi"/>
          <w:iCs/>
          <w:lang w:eastAsia="is-IS"/>
        </w:rPr>
      </w:pPr>
    </w:p>
    <w:p w14:paraId="250E31AA" w14:textId="77777777" w:rsidR="007262D2" w:rsidRDefault="007262D2" w:rsidP="00B66D7E"/>
    <w:p w14:paraId="2988068D" w14:textId="73CAA506" w:rsidR="00B66D7E" w:rsidRPr="002F5472" w:rsidRDefault="00B66D7E" w:rsidP="005419E4">
      <w:pPr>
        <w:pStyle w:val="Heading6"/>
        <w:jc w:val="both"/>
      </w:pPr>
      <w:r w:rsidRPr="002F5472">
        <w:br w:type="page"/>
      </w:r>
    </w:p>
    <w:p w14:paraId="627017D4" w14:textId="333033CC" w:rsidR="00B66D7E" w:rsidRPr="002F5472" w:rsidRDefault="00A06DB0" w:rsidP="00B66D7E">
      <w:pPr>
        <w:pStyle w:val="Heading6"/>
      </w:pPr>
      <w:r>
        <w:lastRenderedPageBreak/>
        <w:t xml:space="preserve">Viðauki </w:t>
      </w:r>
      <w:r w:rsidR="001825E5">
        <w:t>3</w:t>
      </w:r>
      <w:r w:rsidR="00B66D7E" w:rsidRPr="002F5472">
        <w:tab/>
      </w:r>
      <w:r w:rsidR="00367AA4">
        <w:t>Vinnslusamningur</w:t>
      </w:r>
    </w:p>
    <w:p w14:paraId="5888F427" w14:textId="77777777" w:rsidR="00E439AE" w:rsidRDefault="00E439AE" w:rsidP="00E439AE">
      <w:pPr>
        <w:pStyle w:val="Heading6"/>
        <w:jc w:val="both"/>
        <w:rPr>
          <w:b w:val="0"/>
          <w:i/>
        </w:rPr>
      </w:pPr>
    </w:p>
    <w:p w14:paraId="4DE27795" w14:textId="28800AFA" w:rsidR="00B66D7E" w:rsidRPr="00E439AE" w:rsidRDefault="00E439AE" w:rsidP="00E439AE">
      <w:pPr>
        <w:pStyle w:val="Heading6"/>
        <w:jc w:val="both"/>
        <w:rPr>
          <w:b w:val="0"/>
          <w:i/>
        </w:rPr>
      </w:pPr>
      <w:r w:rsidRPr="00E439AE">
        <w:rPr>
          <w:b w:val="0"/>
          <w:i/>
        </w:rPr>
        <w:t xml:space="preserve">[Vinnslusamningsform </w:t>
      </w:r>
      <w:r w:rsidR="0069408D">
        <w:rPr>
          <w:b w:val="0"/>
          <w:i/>
        </w:rPr>
        <w:t>Sveitarfélags/stofnun</w:t>
      </w:r>
      <w:r w:rsidR="001634D0">
        <w:rPr>
          <w:b w:val="0"/>
          <w:i/>
        </w:rPr>
        <w:t>ar</w:t>
      </w:r>
      <w:r w:rsidRPr="00E439AE">
        <w:rPr>
          <w:b w:val="0"/>
          <w:i/>
        </w:rPr>
        <w:t>]</w:t>
      </w:r>
    </w:p>
    <w:p w14:paraId="42745971" w14:textId="77777777" w:rsidR="006354A2" w:rsidRPr="00DF0B96" w:rsidRDefault="006354A2" w:rsidP="00B616E1"/>
    <w:sectPr w:rsidR="006354A2" w:rsidRPr="00DF0B96" w:rsidSect="009E1253">
      <w:footerReference w:type="even" r:id="rId12"/>
      <w:footerReference w:type="default" r:id="rId13"/>
      <w:headerReference w:type="first" r:id="rId14"/>
      <w:pgSz w:w="11906" w:h="16838" w:code="9"/>
      <w:pgMar w:top="17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73B1" w14:textId="77777777" w:rsidR="005360DF" w:rsidRDefault="005360DF" w:rsidP="00B44A0B">
      <w:pPr>
        <w:spacing w:before="0" w:after="0"/>
      </w:pPr>
      <w:r>
        <w:separator/>
      </w:r>
    </w:p>
  </w:endnote>
  <w:endnote w:type="continuationSeparator" w:id="0">
    <w:p w14:paraId="790880BE" w14:textId="77777777" w:rsidR="005360DF" w:rsidRDefault="005360DF" w:rsidP="00B44A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DEB6" w14:textId="77777777" w:rsidR="001E5076" w:rsidRDefault="001E5076" w:rsidP="00AB7C1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9DD35F" w14:textId="77777777" w:rsidR="001E5076" w:rsidRDefault="001E5076" w:rsidP="00AB7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A857F" w14:textId="16B1F43C" w:rsidR="001E5076" w:rsidRDefault="005360DF">
    <w:pPr>
      <w:pStyle w:val="Footer"/>
      <w:jc w:val="center"/>
    </w:pPr>
    <w:sdt>
      <w:sdtPr>
        <w:id w:val="-1648430103"/>
        <w:docPartObj>
          <w:docPartGallery w:val="Page Numbers (Bottom of Page)"/>
          <w:docPartUnique/>
        </w:docPartObj>
      </w:sdtPr>
      <w:sdtEndPr>
        <w:rPr>
          <w:noProof/>
        </w:rPr>
      </w:sdtEndPr>
      <w:sdtContent>
        <w:r w:rsidR="001E5076">
          <w:fldChar w:fldCharType="begin"/>
        </w:r>
        <w:r w:rsidR="001E5076">
          <w:instrText xml:space="preserve"> PAGE   \* MERGEFORMAT </w:instrText>
        </w:r>
        <w:r w:rsidR="001E5076">
          <w:fldChar w:fldCharType="separate"/>
        </w:r>
        <w:r w:rsidR="001A40E3">
          <w:rPr>
            <w:noProof/>
          </w:rPr>
          <w:t>6</w:t>
        </w:r>
        <w:r w:rsidR="001E507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46AD3" w14:textId="77777777" w:rsidR="005360DF" w:rsidRDefault="005360DF" w:rsidP="00B44A0B">
      <w:pPr>
        <w:spacing w:before="0" w:after="0"/>
      </w:pPr>
      <w:r>
        <w:separator/>
      </w:r>
    </w:p>
  </w:footnote>
  <w:footnote w:type="continuationSeparator" w:id="0">
    <w:p w14:paraId="77512D55" w14:textId="77777777" w:rsidR="005360DF" w:rsidRDefault="005360DF" w:rsidP="00B44A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ED13" w14:textId="77777777" w:rsidR="001E5076" w:rsidRDefault="001E5076" w:rsidP="00AB7C16">
    <w:pPr>
      <w:pStyle w:val="Header"/>
    </w:pPr>
  </w:p>
  <w:p w14:paraId="25DDC8D2" w14:textId="77777777" w:rsidR="001E5076" w:rsidRDefault="001E5076" w:rsidP="00AB7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D88E6818"/>
    <w:lvl w:ilvl="0">
      <w:start w:val="1"/>
      <w:numFmt w:val="decimal"/>
      <w:pStyle w:val="TitleClause"/>
      <w:lvlText w:val="%1."/>
      <w:lvlJc w:val="left"/>
      <w:pPr>
        <w:tabs>
          <w:tab w:val="num" w:pos="720"/>
        </w:tabs>
        <w:ind w:left="720" w:hanging="720"/>
      </w:pPr>
      <w:rPr>
        <w:rFonts w:ascii="Verdana" w:hAnsi="Verdana" w:hint="default"/>
        <w:color w:val="000000"/>
        <w:sz w:val="20"/>
        <w:szCs w:val="20"/>
      </w:rPr>
    </w:lvl>
    <w:lvl w:ilvl="1">
      <w:start w:val="1"/>
      <w:numFmt w:val="decimal"/>
      <w:pStyle w:val="Untitledsubclause1"/>
      <w:lvlText w:val="%1.%2"/>
      <w:lvlJc w:val="left"/>
      <w:pPr>
        <w:tabs>
          <w:tab w:val="num" w:pos="720"/>
        </w:tabs>
        <w:ind w:left="720" w:hanging="720"/>
      </w:pPr>
      <w:rPr>
        <w:rFonts w:ascii="Verdana" w:hAnsi="Verdana" w:hint="default"/>
        <w:color w:val="000000"/>
        <w:sz w:val="20"/>
        <w:szCs w:val="2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5537C"/>
    <w:multiLevelType w:val="multilevel"/>
    <w:tmpl w:val="B08A4F6C"/>
    <w:lvl w:ilvl="0">
      <w:start w:val="1"/>
      <w:numFmt w:val="decimal"/>
      <w:pStyle w:val="Heading1"/>
      <w:lvlText w:val="%1"/>
      <w:lvlJc w:val="left"/>
      <w:pPr>
        <w:ind w:left="360" w:hanging="360"/>
      </w:pPr>
      <w:rPr>
        <w:rFonts w:hint="default"/>
        <w:b/>
        <w:color w:val="auto"/>
      </w:rPr>
    </w:lvl>
    <w:lvl w:ilvl="1">
      <w:start w:val="1"/>
      <w:numFmt w:val="decimal"/>
      <w:pStyle w:val="Heading2"/>
      <w:lvlText w:val="%1.%2"/>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EF44B4B"/>
    <w:multiLevelType w:val="hybridMultilevel"/>
    <w:tmpl w:val="C6F2BACA"/>
    <w:lvl w:ilvl="0" w:tplc="8E78178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A311F"/>
    <w:multiLevelType w:val="hybridMultilevel"/>
    <w:tmpl w:val="65746C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E94CA9"/>
    <w:multiLevelType w:val="multilevel"/>
    <w:tmpl w:val="A73293B4"/>
    <w:lvl w:ilvl="0">
      <w:start w:val="1"/>
      <w:numFmt w:val="bullet"/>
      <w:lvlText w:val=""/>
      <w:legacy w:legacy="1" w:legacySpace="0" w:legacyIndent="283"/>
      <w:lvlJc w:val="left"/>
      <w:pPr>
        <w:ind w:left="850" w:hanging="283"/>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40325A"/>
    <w:multiLevelType w:val="multilevel"/>
    <w:tmpl w:val="E6C220E0"/>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7E"/>
    <w:rsid w:val="00066D33"/>
    <w:rsid w:val="00075782"/>
    <w:rsid w:val="001046EE"/>
    <w:rsid w:val="001577A2"/>
    <w:rsid w:val="001634D0"/>
    <w:rsid w:val="001726E9"/>
    <w:rsid w:val="001825E5"/>
    <w:rsid w:val="0018641C"/>
    <w:rsid w:val="001A40E3"/>
    <w:rsid w:val="001B49B9"/>
    <w:rsid w:val="001E12A4"/>
    <w:rsid w:val="001E449E"/>
    <w:rsid w:val="001E5076"/>
    <w:rsid w:val="00264730"/>
    <w:rsid w:val="002B14A5"/>
    <w:rsid w:val="002F2488"/>
    <w:rsid w:val="002F35C2"/>
    <w:rsid w:val="00321395"/>
    <w:rsid w:val="0032657C"/>
    <w:rsid w:val="00346C70"/>
    <w:rsid w:val="0035098E"/>
    <w:rsid w:val="00367AA4"/>
    <w:rsid w:val="00377A5B"/>
    <w:rsid w:val="00392E14"/>
    <w:rsid w:val="003B21AD"/>
    <w:rsid w:val="003E2518"/>
    <w:rsid w:val="00402B37"/>
    <w:rsid w:val="0044222C"/>
    <w:rsid w:val="00483B40"/>
    <w:rsid w:val="005055E2"/>
    <w:rsid w:val="00506585"/>
    <w:rsid w:val="0052007B"/>
    <w:rsid w:val="00530BAF"/>
    <w:rsid w:val="005360DF"/>
    <w:rsid w:val="005367CD"/>
    <w:rsid w:val="005419E4"/>
    <w:rsid w:val="00552906"/>
    <w:rsid w:val="005C4DB5"/>
    <w:rsid w:val="005C7C4D"/>
    <w:rsid w:val="005D12D3"/>
    <w:rsid w:val="005D4FB6"/>
    <w:rsid w:val="005E507F"/>
    <w:rsid w:val="00601A81"/>
    <w:rsid w:val="00614966"/>
    <w:rsid w:val="006354A2"/>
    <w:rsid w:val="00671625"/>
    <w:rsid w:val="0069408D"/>
    <w:rsid w:val="006A1499"/>
    <w:rsid w:val="007071C7"/>
    <w:rsid w:val="007262D2"/>
    <w:rsid w:val="0074195D"/>
    <w:rsid w:val="00744CB6"/>
    <w:rsid w:val="00746E99"/>
    <w:rsid w:val="00747AD5"/>
    <w:rsid w:val="00755C3F"/>
    <w:rsid w:val="0076228B"/>
    <w:rsid w:val="007919C2"/>
    <w:rsid w:val="00793E40"/>
    <w:rsid w:val="00820710"/>
    <w:rsid w:val="00882BE9"/>
    <w:rsid w:val="00890EDE"/>
    <w:rsid w:val="008C26F0"/>
    <w:rsid w:val="008F1C4E"/>
    <w:rsid w:val="00984574"/>
    <w:rsid w:val="00993A77"/>
    <w:rsid w:val="009A013D"/>
    <w:rsid w:val="009D176E"/>
    <w:rsid w:val="009D56D2"/>
    <w:rsid w:val="009E1253"/>
    <w:rsid w:val="009E3A1B"/>
    <w:rsid w:val="00A06DB0"/>
    <w:rsid w:val="00A26808"/>
    <w:rsid w:val="00A46995"/>
    <w:rsid w:val="00A83F56"/>
    <w:rsid w:val="00AB197F"/>
    <w:rsid w:val="00AB1C3B"/>
    <w:rsid w:val="00AB7C16"/>
    <w:rsid w:val="00AD3963"/>
    <w:rsid w:val="00AE2205"/>
    <w:rsid w:val="00B3743B"/>
    <w:rsid w:val="00B44A0B"/>
    <w:rsid w:val="00B616E1"/>
    <w:rsid w:val="00B66D7E"/>
    <w:rsid w:val="00B735A5"/>
    <w:rsid w:val="00B83924"/>
    <w:rsid w:val="00B94509"/>
    <w:rsid w:val="00B97786"/>
    <w:rsid w:val="00BB264D"/>
    <w:rsid w:val="00BD54B5"/>
    <w:rsid w:val="00BD5C87"/>
    <w:rsid w:val="00C8637E"/>
    <w:rsid w:val="00C92B8B"/>
    <w:rsid w:val="00CA5F46"/>
    <w:rsid w:val="00CB4FD5"/>
    <w:rsid w:val="00CC4FD3"/>
    <w:rsid w:val="00CD097E"/>
    <w:rsid w:val="00CE54B8"/>
    <w:rsid w:val="00D106A3"/>
    <w:rsid w:val="00D90237"/>
    <w:rsid w:val="00DC3BB0"/>
    <w:rsid w:val="00DF0B96"/>
    <w:rsid w:val="00DF154D"/>
    <w:rsid w:val="00E344F7"/>
    <w:rsid w:val="00E439AE"/>
    <w:rsid w:val="00EB0308"/>
    <w:rsid w:val="00EC7066"/>
    <w:rsid w:val="00ED21CC"/>
    <w:rsid w:val="00ED605B"/>
    <w:rsid w:val="00F078BF"/>
    <w:rsid w:val="00F35790"/>
    <w:rsid w:val="00F51B2D"/>
    <w:rsid w:val="00FB6E5B"/>
    <w:rsid w:val="00FD3683"/>
    <w:rsid w:val="00FE00AC"/>
    <w:rsid w:val="16461BCC"/>
    <w:rsid w:val="19DB9274"/>
    <w:rsid w:val="1BDA5C6E"/>
    <w:rsid w:val="2838EEF7"/>
    <w:rsid w:val="2F8EE36B"/>
    <w:rsid w:val="3D27593A"/>
    <w:rsid w:val="457878F8"/>
    <w:rsid w:val="4786D0B5"/>
    <w:rsid w:val="4DA4CB2B"/>
    <w:rsid w:val="4E7C3E65"/>
    <w:rsid w:val="5130636F"/>
    <w:rsid w:val="546D2F54"/>
    <w:rsid w:val="5E87E13E"/>
    <w:rsid w:val="64F21C98"/>
    <w:rsid w:val="678CB29A"/>
    <w:rsid w:val="69EED26F"/>
    <w:rsid w:val="6E09A315"/>
    <w:rsid w:val="6F68934C"/>
    <w:rsid w:val="6FC47948"/>
    <w:rsid w:val="77254858"/>
    <w:rsid w:val="773D1BDF"/>
    <w:rsid w:val="7A980776"/>
    <w:rsid w:val="7DA53C4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F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Arial"/>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7E"/>
    <w:pPr>
      <w:spacing w:before="240" w:after="120" w:line="240" w:lineRule="auto"/>
      <w:jc w:val="both"/>
    </w:pPr>
    <w:rPr>
      <w:rFonts w:eastAsia="Times New Roman"/>
    </w:rPr>
  </w:style>
  <w:style w:type="paragraph" w:styleId="Heading1">
    <w:name w:val="heading 1"/>
    <w:basedOn w:val="Normal"/>
    <w:next w:val="Normal"/>
    <w:link w:val="Heading1Char"/>
    <w:qFormat/>
    <w:rsid w:val="00506585"/>
    <w:pPr>
      <w:keepNext/>
      <w:numPr>
        <w:numId w:val="1"/>
      </w:numPr>
      <w:spacing w:after="60"/>
      <w:ind w:left="630" w:hanging="630"/>
      <w:jc w:val="left"/>
      <w:outlineLvl w:val="0"/>
    </w:pPr>
    <w:rPr>
      <w:b/>
      <w:bCs/>
      <w:caps/>
      <w:kern w:val="32"/>
      <w:szCs w:val="28"/>
    </w:rPr>
  </w:style>
  <w:style w:type="paragraph" w:styleId="Heading2">
    <w:name w:val="heading 2"/>
    <w:basedOn w:val="ListParagraph"/>
    <w:next w:val="Normal"/>
    <w:link w:val="Heading2Char"/>
    <w:qFormat/>
    <w:rsid w:val="00506585"/>
    <w:pPr>
      <w:numPr>
        <w:ilvl w:val="1"/>
        <w:numId w:val="1"/>
      </w:numPr>
      <w:spacing w:after="60"/>
      <w:ind w:left="630" w:hanging="630"/>
      <w:contextualSpacing w:val="0"/>
      <w:outlineLvl w:val="1"/>
    </w:pPr>
  </w:style>
  <w:style w:type="paragraph" w:styleId="Heading3">
    <w:name w:val="heading 3"/>
    <w:basedOn w:val="Heading2"/>
    <w:next w:val="Normal"/>
    <w:link w:val="Heading3Char"/>
    <w:qFormat/>
    <w:rsid w:val="00B66D7E"/>
    <w:pPr>
      <w:numPr>
        <w:ilvl w:val="2"/>
      </w:numPr>
      <w:outlineLvl w:val="2"/>
    </w:pPr>
    <w:rPr>
      <w:b/>
    </w:rPr>
  </w:style>
  <w:style w:type="paragraph" w:styleId="Heading4">
    <w:name w:val="heading 4"/>
    <w:basedOn w:val="Untitledsubclause2"/>
    <w:next w:val="Normal"/>
    <w:link w:val="Heading4Char"/>
    <w:qFormat/>
    <w:rsid w:val="002B14A5"/>
    <w:pPr>
      <w:spacing w:line="240" w:lineRule="auto"/>
      <w:ind w:left="1556" w:hanging="562"/>
      <w:outlineLvl w:val="3"/>
    </w:pPr>
    <w:rPr>
      <w:rFonts w:ascii="Verdana" w:hAnsi="Verdana"/>
      <w:sz w:val="20"/>
    </w:rPr>
  </w:style>
  <w:style w:type="paragraph" w:styleId="Heading6">
    <w:name w:val="heading 6"/>
    <w:basedOn w:val="Normal"/>
    <w:next w:val="Normal"/>
    <w:link w:val="Heading6Char"/>
    <w:qFormat/>
    <w:rsid w:val="00B66D7E"/>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585"/>
    <w:rPr>
      <w:rFonts w:eastAsia="Times New Roman"/>
      <w:b/>
      <w:bCs/>
      <w:caps/>
      <w:kern w:val="32"/>
      <w:szCs w:val="28"/>
    </w:rPr>
  </w:style>
  <w:style w:type="character" w:customStyle="1" w:styleId="Heading2Char">
    <w:name w:val="Heading 2 Char"/>
    <w:basedOn w:val="DefaultParagraphFont"/>
    <w:link w:val="Heading2"/>
    <w:rsid w:val="00506585"/>
    <w:rPr>
      <w:rFonts w:eastAsia="Times New Roman"/>
    </w:rPr>
  </w:style>
  <w:style w:type="character" w:customStyle="1" w:styleId="Heading3Char">
    <w:name w:val="Heading 3 Char"/>
    <w:basedOn w:val="DefaultParagraphFont"/>
    <w:link w:val="Heading3"/>
    <w:rsid w:val="00B66D7E"/>
    <w:rPr>
      <w:rFonts w:eastAsia="Times New Roman"/>
    </w:rPr>
  </w:style>
  <w:style w:type="character" w:customStyle="1" w:styleId="Heading4Char">
    <w:name w:val="Heading 4 Char"/>
    <w:basedOn w:val="DefaultParagraphFont"/>
    <w:link w:val="Heading4"/>
    <w:rsid w:val="002B14A5"/>
    <w:rPr>
      <w:rFonts w:eastAsia="Arial Unicode MS"/>
      <w:color w:val="000000"/>
    </w:rPr>
  </w:style>
  <w:style w:type="character" w:customStyle="1" w:styleId="Heading6Char">
    <w:name w:val="Heading 6 Char"/>
    <w:basedOn w:val="DefaultParagraphFont"/>
    <w:link w:val="Heading6"/>
    <w:rsid w:val="00B66D7E"/>
    <w:rPr>
      <w:rFonts w:eastAsia="Times New Roman"/>
      <w:b/>
      <w:bCs/>
    </w:rPr>
  </w:style>
  <w:style w:type="paragraph" w:styleId="Header">
    <w:name w:val="header"/>
    <w:basedOn w:val="Normal"/>
    <w:link w:val="HeaderChar"/>
    <w:uiPriority w:val="99"/>
    <w:rsid w:val="00B66D7E"/>
    <w:pPr>
      <w:tabs>
        <w:tab w:val="center" w:pos="4153"/>
        <w:tab w:val="right" w:pos="8306"/>
      </w:tabs>
    </w:pPr>
  </w:style>
  <w:style w:type="character" w:customStyle="1" w:styleId="HeaderChar">
    <w:name w:val="Header Char"/>
    <w:basedOn w:val="DefaultParagraphFont"/>
    <w:link w:val="Header"/>
    <w:uiPriority w:val="99"/>
    <w:rsid w:val="00B66D7E"/>
    <w:rPr>
      <w:rFonts w:eastAsia="Times New Roman"/>
    </w:rPr>
  </w:style>
  <w:style w:type="character" w:styleId="PageNumber">
    <w:name w:val="page number"/>
    <w:basedOn w:val="DefaultParagraphFont"/>
    <w:semiHidden/>
    <w:rsid w:val="00B66D7E"/>
  </w:style>
  <w:style w:type="paragraph" w:styleId="Footer">
    <w:name w:val="footer"/>
    <w:basedOn w:val="Normal"/>
    <w:link w:val="FooterChar"/>
    <w:uiPriority w:val="99"/>
    <w:rsid w:val="00B66D7E"/>
    <w:pPr>
      <w:tabs>
        <w:tab w:val="center" w:pos="4153"/>
        <w:tab w:val="right" w:pos="8306"/>
      </w:tabs>
    </w:pPr>
  </w:style>
  <w:style w:type="character" w:customStyle="1" w:styleId="FooterChar">
    <w:name w:val="Footer Char"/>
    <w:basedOn w:val="DefaultParagraphFont"/>
    <w:link w:val="Footer"/>
    <w:uiPriority w:val="99"/>
    <w:rsid w:val="00B66D7E"/>
    <w:rPr>
      <w:rFonts w:eastAsia="Times New Roman"/>
    </w:rPr>
  </w:style>
  <w:style w:type="character" w:styleId="CommentReference">
    <w:name w:val="annotation reference"/>
    <w:semiHidden/>
    <w:rsid w:val="00B66D7E"/>
    <w:rPr>
      <w:sz w:val="16"/>
      <w:szCs w:val="16"/>
    </w:rPr>
  </w:style>
  <w:style w:type="paragraph" w:styleId="CommentText">
    <w:name w:val="annotation text"/>
    <w:basedOn w:val="Normal"/>
    <w:link w:val="CommentTextChar"/>
    <w:semiHidden/>
    <w:rsid w:val="00B66D7E"/>
  </w:style>
  <w:style w:type="character" w:customStyle="1" w:styleId="CommentTextChar">
    <w:name w:val="Comment Text Char"/>
    <w:basedOn w:val="DefaultParagraphFont"/>
    <w:link w:val="CommentText"/>
    <w:semiHidden/>
    <w:rsid w:val="00B66D7E"/>
    <w:rPr>
      <w:rFonts w:eastAsia="Times New Roman"/>
    </w:rPr>
  </w:style>
  <w:style w:type="paragraph" w:styleId="ListParagraph">
    <w:name w:val="List Paragraph"/>
    <w:basedOn w:val="Normal"/>
    <w:uiPriority w:val="34"/>
    <w:qFormat/>
    <w:rsid w:val="00B66D7E"/>
    <w:pPr>
      <w:ind w:left="720"/>
      <w:contextualSpacing/>
    </w:pPr>
  </w:style>
  <w:style w:type="character" w:styleId="PlaceholderText">
    <w:name w:val="Placeholder Text"/>
    <w:basedOn w:val="DefaultParagraphFont"/>
    <w:uiPriority w:val="99"/>
    <w:semiHidden/>
    <w:rsid w:val="00B66D7E"/>
    <w:rPr>
      <w:color w:val="808080"/>
    </w:rPr>
  </w:style>
  <w:style w:type="paragraph" w:styleId="BalloonText">
    <w:name w:val="Balloon Text"/>
    <w:basedOn w:val="Normal"/>
    <w:link w:val="BalloonTextChar"/>
    <w:uiPriority w:val="99"/>
    <w:semiHidden/>
    <w:unhideWhenUsed/>
    <w:rsid w:val="00B66D7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7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E54B8"/>
    <w:rPr>
      <w:b/>
      <w:bCs/>
    </w:rPr>
  </w:style>
  <w:style w:type="character" w:customStyle="1" w:styleId="CommentSubjectChar">
    <w:name w:val="Comment Subject Char"/>
    <w:basedOn w:val="CommentTextChar"/>
    <w:link w:val="CommentSubject"/>
    <w:uiPriority w:val="99"/>
    <w:semiHidden/>
    <w:rsid w:val="00CE54B8"/>
    <w:rPr>
      <w:rFonts w:eastAsia="Times New Roman"/>
      <w:b/>
      <w:bCs/>
    </w:rPr>
  </w:style>
  <w:style w:type="table" w:styleId="TableGrid">
    <w:name w:val="Table Grid"/>
    <w:basedOn w:val="TableNormal"/>
    <w:uiPriority w:val="59"/>
    <w:rsid w:val="0072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B94509"/>
    <w:pPr>
      <w:keepNext/>
      <w:numPr>
        <w:numId w:val="4"/>
      </w:numPr>
      <w:spacing w:after="240" w:line="300" w:lineRule="atLeast"/>
      <w:outlineLvl w:val="0"/>
    </w:pPr>
    <w:rPr>
      <w:rFonts w:ascii="Arial" w:eastAsia="Arial Unicode MS" w:hAnsi="Arial"/>
      <w:b/>
      <w:color w:val="000000"/>
      <w:kern w:val="28"/>
      <w:sz w:val="22"/>
    </w:rPr>
  </w:style>
  <w:style w:type="paragraph" w:customStyle="1" w:styleId="Untitledsubclause1">
    <w:name w:val="Untitled subclause 1"/>
    <w:basedOn w:val="Normal"/>
    <w:rsid w:val="00B94509"/>
    <w:pPr>
      <w:numPr>
        <w:ilvl w:val="1"/>
        <w:numId w:val="4"/>
      </w:numPr>
      <w:spacing w:before="280" w:line="300" w:lineRule="atLeast"/>
      <w:outlineLvl w:val="1"/>
    </w:pPr>
    <w:rPr>
      <w:rFonts w:ascii="Arial" w:eastAsia="Arial Unicode MS" w:hAnsi="Arial"/>
      <w:color w:val="000000"/>
      <w:sz w:val="22"/>
    </w:rPr>
  </w:style>
  <w:style w:type="paragraph" w:customStyle="1" w:styleId="Untitledsubclause2">
    <w:name w:val="Untitled subclause 2"/>
    <w:basedOn w:val="Normal"/>
    <w:rsid w:val="00B94509"/>
    <w:pPr>
      <w:numPr>
        <w:ilvl w:val="2"/>
        <w:numId w:val="4"/>
      </w:numPr>
      <w:spacing w:before="0" w:line="300" w:lineRule="atLeast"/>
      <w:outlineLvl w:val="2"/>
    </w:pPr>
    <w:rPr>
      <w:rFonts w:ascii="Arial" w:eastAsia="Arial Unicode MS" w:hAnsi="Arial"/>
      <w:color w:val="000000"/>
      <w:sz w:val="22"/>
    </w:rPr>
  </w:style>
  <w:style w:type="paragraph" w:customStyle="1" w:styleId="Untitledsubclause3">
    <w:name w:val="Untitled subclause 3"/>
    <w:basedOn w:val="Normal"/>
    <w:rsid w:val="00B94509"/>
    <w:pPr>
      <w:numPr>
        <w:ilvl w:val="3"/>
        <w:numId w:val="4"/>
      </w:numPr>
      <w:tabs>
        <w:tab w:val="left" w:pos="2261"/>
      </w:tabs>
      <w:spacing w:before="0" w:line="300" w:lineRule="atLeast"/>
      <w:outlineLvl w:val="3"/>
    </w:pPr>
    <w:rPr>
      <w:rFonts w:ascii="Arial" w:eastAsia="Arial Unicode MS" w:hAnsi="Arial"/>
      <w:color w:val="000000"/>
      <w:sz w:val="22"/>
    </w:rPr>
  </w:style>
  <w:style w:type="paragraph" w:customStyle="1" w:styleId="Untitledsubclause4">
    <w:name w:val="Untitled subclause 4"/>
    <w:basedOn w:val="Normal"/>
    <w:rsid w:val="00B94509"/>
    <w:pPr>
      <w:numPr>
        <w:ilvl w:val="4"/>
        <w:numId w:val="4"/>
      </w:numPr>
      <w:spacing w:before="0" w:line="300" w:lineRule="atLeast"/>
      <w:outlineLvl w:val="4"/>
    </w:pPr>
    <w:rPr>
      <w:rFonts w:ascii="Arial" w:eastAsia="Arial Unicode MS" w:hAnsi="Arial"/>
      <w:color w:val="000000"/>
      <w:sz w:val="22"/>
    </w:rPr>
  </w:style>
  <w:style w:type="paragraph" w:customStyle="1" w:styleId="Default">
    <w:name w:val="Default"/>
    <w:rsid w:val="00066D33"/>
    <w:pPr>
      <w:autoSpaceDE w:val="0"/>
      <w:autoSpaceDN w:val="0"/>
      <w:adjustRightInd w:val="0"/>
      <w:spacing w:after="0" w:line="240" w:lineRule="auto"/>
    </w:pPr>
    <w:rPr>
      <w:rFonts w:ascii="Arial" w:eastAsia="Times New Roman" w:hAnsi="Arial"/>
      <w:color w:val="000000"/>
      <w:sz w:val="24"/>
      <w:szCs w:val="24"/>
      <w:lang w:eastAsia="is-IS"/>
    </w:rPr>
  </w:style>
  <w:style w:type="paragraph" w:customStyle="1" w:styleId="texti">
    <w:name w:val="texti"/>
    <w:basedOn w:val="Normal"/>
    <w:link w:val="textiChar"/>
    <w:rsid w:val="00066D33"/>
    <w:pPr>
      <w:tabs>
        <w:tab w:val="left" w:leader="dot" w:pos="851"/>
      </w:tabs>
      <w:spacing w:before="0" w:after="240"/>
      <w:ind w:left="851"/>
    </w:pPr>
    <w:rPr>
      <w:rFonts w:ascii="Times New Roman" w:hAnsi="Times New Roman" w:cs="Times New Roman"/>
      <w:sz w:val="22"/>
    </w:rPr>
  </w:style>
  <w:style w:type="character" w:customStyle="1" w:styleId="textiChar">
    <w:name w:val="texti Char"/>
    <w:link w:val="texti"/>
    <w:rsid w:val="00066D33"/>
    <w:rPr>
      <w:rFonts w:ascii="Times New Roman" w:eastAsia="Times New Roman" w:hAnsi="Times New Roman" w:cs="Times New Roman"/>
      <w:sz w:val="22"/>
    </w:rPr>
  </w:style>
  <w:style w:type="character" w:styleId="Hyperlink">
    <w:name w:val="Hyperlink"/>
    <w:uiPriority w:val="99"/>
    <w:rsid w:val="00066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733645">
      <w:bodyDiv w:val="1"/>
      <w:marLeft w:val="0"/>
      <w:marRight w:val="0"/>
      <w:marTop w:val="0"/>
      <w:marBottom w:val="0"/>
      <w:divBdr>
        <w:top w:val="none" w:sz="0" w:space="0" w:color="auto"/>
        <w:left w:val="none" w:sz="0" w:space="0" w:color="auto"/>
        <w:bottom w:val="none" w:sz="0" w:space="0" w:color="auto"/>
        <w:right w:val="none" w:sz="0" w:space="0" w:color="auto"/>
      </w:divBdr>
    </w:div>
    <w:div w:id="11329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53FD3792B8334984C17F6A71002E61" ma:contentTypeVersion="4" ma:contentTypeDescription="Create a new document." ma:contentTypeScope="" ma:versionID="74d7324f69e9ff66daf6f33ccf85114d">
  <xsd:schema xmlns:xsd="http://www.w3.org/2001/XMLSchema" xmlns:xs="http://www.w3.org/2001/XMLSchema" xmlns:p="http://schemas.microsoft.com/office/2006/metadata/properties" xmlns:ns2="a7bc0dc0-d4dc-4047-87be-2464476b5c67" targetNamespace="http://schemas.microsoft.com/office/2006/metadata/properties" ma:root="true" ma:fieldsID="416ef08e36b314ea4f5472fdeaa168c4" ns2:_="">
    <xsd:import namespace="a7bc0dc0-d4dc-4047-87be-2464476b5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0dc0-d4dc-4047-87be-2464476b5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C2D806-7D62-42CD-9304-299B7E30C130}">
  <ds:schemaRefs>
    <ds:schemaRef ds:uri="http://schemas.openxmlformats.org/officeDocument/2006/bibliography"/>
  </ds:schemaRefs>
</ds:datastoreItem>
</file>

<file path=customXml/itemProps3.xml><?xml version="1.0" encoding="utf-8"?>
<ds:datastoreItem xmlns:ds="http://schemas.openxmlformats.org/officeDocument/2006/customXml" ds:itemID="{81B5D85C-B40B-4101-9D4A-C502B9B801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65BA79-C899-4F74-9C7E-8251519F329C}">
  <ds:schemaRefs>
    <ds:schemaRef ds:uri="http://schemas.microsoft.com/sharepoint/v3/contenttype/forms"/>
  </ds:schemaRefs>
</ds:datastoreItem>
</file>

<file path=customXml/itemProps5.xml><?xml version="1.0" encoding="utf-8"?>
<ds:datastoreItem xmlns:ds="http://schemas.openxmlformats.org/officeDocument/2006/customXml" ds:itemID="{51CB6E97-7669-4FC9-A71A-08D0E746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c0dc0-d4dc-4047-87be-2464476b5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2020-10-07T12:47:00Z</dcterms:created>
  <dcterms:modified xsi:type="dcterms:W3CDTF">2020-10-07T12:47:00Z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0x0101008753FD3792B8334984C17F6A71002E61</vt:lpwstr>
  </property>
</Properties>
</file>